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KLANTENOVERZICHT — MARILYN EN CO GROEP</w:t>
      </w:r>
    </w:p>
    <w:p>
      <w:r>
        <w:t>Peildatum: 31 december 2025</w:t>
      </w:r>
    </w:p>
    <w:p>
      <w:r>
        <w:t>Het klantenbestand van de groep bestaat per ultimo 2025 uit 187 actieve klanten, verdeeld over de drie werkmaatschappijen. De grootste klant (een regionale vastgoedgroep, jaarwerk + advies) vertegenwoordigt 8,4% van de totale groepsomzet. De top 10 klanten samen zijn goed voor 34% van de omzet — een gezonde spreiding zonder sterke concentratie.</w:t>
      </w:r>
    </w:p>
    <w:p>
      <w:r>
        <w:t>Van de omzet is 62% recurring (vaste jaarwerkabonnementen en doorlopende loonverwerking); de resterende 38% betreft projectmatig advies en incidentele opdrachten. Gemiddelde omzet per klant bedraagt circa €16.300 per jaar.</w:t>
      </w:r>
    </w:p>
    <w:p>
      <w:r>
        <w:t>Klantverloop 2025: 9 klanten vertrokken (4,8% van het bestand), voornamelijk door bedrijfsbeëindiging of verhuizing buiten het werkgebied. Er kwamen 14 nieuwe klanten bij. Gemiddelde klantduur is 8,2 jaar.</w:t>
      </w:r>
    </w:p>
    <w:p>
      <w:r>
        <w:t>Cross-sell: 41% van de klanten neemt diensten af van meer dan één werkmaatschappij (bijv. jaarwerk + loonverwerking via Loon en HRM).</w:t>
      </w:r>
    </w:p>
    <w:p>
      <w:r>
        <w:t>Retentierisico: geen van de sleutelklanten is contractueel of relationeel sterk verbonden aan één individuele partner; het risico op klantverlies bij een eigendomswisseling wordt als beperkt ingeschat.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