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 — AANDEELHOUDERSSTRUCTUUR EN PARTNERSAMENSTELLING</w:t>
      </w:r>
    </w:p>
    <w:p>
      <w:r>
        <w:t>Van: M. Bisschops (eigenaar/bestuurder)</w:t>
      </w:r>
    </w:p>
    <w:p>
      <w:r>
        <w:t>Betreft: Overzicht t.b.v. due diligence — Marilyn en Co Groep</w:t>
      </w:r>
    </w:p>
    <w:p>
      <w:r>
        <w:t>De groep telt in totaal 3 partners/aandeelhouders, allen actief in de dagelijkse bedrijfsvoering. Gemiddelde leeftijd van de partners is 52 jaar. Totale personeelsbezetting van de groep bedraagt 28 FTE. Gemiddelde omzet per partner bedraagt circa €1.013.000 (groepsomzet 2025 gedeeld door 3 partners).</w:t>
      </w:r>
    </w:p>
    <w:p>
      <w:r>
        <w:t>Eigendomsstructuur: M. Bisschops Holding B.V. is 100% eigenaar van de drie werkmaatschappijen (Marilyn en Co Accountants &amp; Adviseurs B.V., Marilyn en Co Assets B.V. en Marilyn en Co Loon en HRM B.V.). Geen minderheidsaandeelhouders.</w:t>
      </w:r>
    </w:p>
    <w:p>
      <w:r>
        <w:t>Er is op dit moment geen concrete interne opvolgingskandidaat voor de rol van eigenaar/bestuurder aangewezen. De overige partners hebben aangegeven open te staan voor een overname door een externe partij, mits de bedrijfscultuur en klantrelaties gewaarborgd blijven — de veranderbereidheid wordt door alle partners als gemiddeld tot hoog ingeschat.</w:t>
      </w:r>
    </w:p>
    <w:p>
      <w:r>
        <w:t>Geen van de partners heeft binnen 5 jaar pensioengerechtigde leeftijd.</w:t>
      </w:r>
    </w:p>
    <w:p>
      <w:r>
        <w:t>Personeelsverloop 2025: 3 medewerkers (10,7%) uit dienst, voornamelijk vrijwillig vertrek. Er staan momenteel 2 vacatures open (assistent-accountant en salarisadministrateur). Er zijn 2 medewerkers in opleiding tot RA/AA.</w:t>
      </w:r>
    </w:p>
    <w:p>
      <w:r>
        <w:t>Er zijn schriftelijke partnerovereenkomsten aanwezig voor alle 3 partners, laatstelijk geactualiseerd in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