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STRATEGIENOTITIE EIGENAAR — VERVOLGSTAP EN MARKTPOSITIE</w:t>
      </w:r>
    </w:p>
    <w:p>
      <w:r>
        <w:t>Marilyn en Co Groep</w:t>
      </w:r>
    </w:p>
    <w:p>
      <w:r>
        <w:t>Marktpositie: de groep opereert als middelgroot regionaal accountancy- en advieskantoor in Noordoost-Brabant, met een sterke reputatie in het MKB-segment en een groeiende dienstverlening rond salarisadministratie (via Loon en HRM) en bedrijfsmatig vastgoed (via Assets).</w:t>
      </w:r>
    </w:p>
    <w:p>
      <w:r>
        <w:t>Niche/specialisme: naast reguliere jaarwerk- en advieswerkzaamheden onderscheidt de groep zich met geïntegreerde dienstverlening — klanten kunnen jaarwerk, loonverwerking en advies over bedrijfshuisvesting bij één groep afnemen.</w:t>
      </w:r>
    </w:p>
    <w:p>
      <w:r>
        <w:t>Belangrijkste concurrenten in de regio zijn twee vergelijkbare regionale kantoren en een aantal grotere landelijke ketens die actief zijn in hetzelfde werkgebied.</w:t>
      </w:r>
    </w:p>
    <w:p>
      <w:r>
        <w:t>AI-impact wordt door de eigenaar gezien als zowel een kans als een risico: geautomatiseerde boekhouding kan basiswerk verminderen, maar biedt ruimte om meer in advieswerk te investeren.</w:t>
      </w:r>
    </w:p>
    <w:p>
      <w:r>
        <w:t>Cultuur: platte organisatie, korte lijnen, sterke persoonlijke klantrelaties — dit wordt gezien als kernwaarde die behouden moet blijven bij een eventuele overname.</w:t>
      </w:r>
    </w:p>
    <w:p>
      <w:r>
        <w:t>Gewenste vervolgstap: de eigenaar oriënteert zich op een volledige verkoop van de groep aan een strategische koper (bijvoorbeeld een grotere accountantsorganisatie) die de bestaande dienstverlening en medewerkers wil voortzetten.</w:t>
      </w:r>
    </w:p>
    <w:p>
      <w:r>
        <w:t>Gewenste tijdlijn: closing bij voorkeur binnen 9 tot 12 maanden.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