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52"/>
        </w:rPr>
        <w:t>GeoDigital Global</w:t>
      </w:r>
    </w:p>
    <w:p>
      <w:pPr>
        <w:jc w:val="center"/>
      </w:pPr>
      <w:r>
        <w:rPr>
          <w:rFonts w:ascii="Arial" w:hAnsi="Arial"/>
          <w:i/>
          <w:color w:val="2B6CB0"/>
          <w:sz w:val="28"/>
        </w:rPr>
        <w:t>Ghid Operativ de Tokenizare RWA și Integrare Guvernamentală</w:t>
      </w:r>
    </w:p>
    <w:p/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1. Diagrama Fluxului de Tokenizare și Vânzare Globală</w:t>
      </w:r>
    </w:p>
    <w:p>
      <w:pPr>
        <w:spacing w:before="120" w:after="240"/>
        <w:ind w:left="288" w:right="288"/>
      </w:pPr>
    </w:p>
    <w:p>
      <w:pPr>
        <w:spacing w:before="80" w:after="80"/>
        <w:ind w:left="432"/>
      </w:pPr>
      <w:r>
        <w:rPr>
          <w:rFonts w:ascii="Arial" w:hAnsi="Arial"/>
          <w:b/>
          <w:color w:val="2B6CB0"/>
          <w:sz w:val="20"/>
        </w:rPr>
        <w:t>► 1. CONFORMITATE &amp; AUDIT</w:t>
        <w:br/>
      </w:r>
      <w:r>
        <w:rPr>
          <w:rFonts w:ascii="Calibri" w:hAnsi="Calibri"/>
          <w:color w:val="2D3748"/>
          <w:sz w:val="20"/>
        </w:rPr>
        <w:t xml:space="preserve">    Guvern / Ministerul Mediului  ──&gt;  Audit Geologic &amp; Aviz Mediu  ──&gt;  Cartea Funciară</w:t>
      </w:r>
    </w:p>
    <w:p>
      <w:pPr>
        <w:spacing w:before="80" w:after="80"/>
        <w:ind w:left="432"/>
      </w:pPr>
      <w:r>
        <w:rPr>
          <w:rFonts w:ascii="Arial" w:hAnsi="Arial"/>
          <w:b/>
          <w:color w:val="2B6CB0"/>
          <w:sz w:val="20"/>
        </w:rPr>
        <w:t>► 2. EMISIUNE &amp; TOKENIZARE</w:t>
        <w:br/>
      </w:r>
      <w:r>
        <w:rPr>
          <w:rFonts w:ascii="Calibri" w:hAnsi="Calibri"/>
          <w:color w:val="2D3748"/>
          <w:sz w:val="20"/>
        </w:rPr>
        <w:t xml:space="preserve">    Smart Contract GeoDigitalRWA.sol  ──&gt;  Generare Tokeni de Zăcământ ($GEO-ASSET)</w:t>
      </w:r>
    </w:p>
    <w:p>
      <w:pPr>
        <w:spacing w:before="80" w:after="80"/>
        <w:ind w:left="432"/>
      </w:pPr>
      <w:r>
        <w:rPr>
          <w:rFonts w:ascii="Arial" w:hAnsi="Arial"/>
          <w:b/>
          <w:color w:val="2B6CB0"/>
          <w:sz w:val="20"/>
        </w:rPr>
        <w:t>► 3. PIAȚA GLOBALĂ &amp; LIQUIDITY</w:t>
        <w:br/>
      </w:r>
      <w:r>
        <w:rPr>
          <w:rFonts w:ascii="Calibri" w:hAnsi="Calibri"/>
          <w:color w:val="2D3748"/>
          <w:sz w:val="20"/>
        </w:rPr>
        <w:t xml:space="preserve">    Investitori Globali / Bănci / Fonduri  ──&gt;  Achiziție Fracționată (Procente RWA)</w:t>
      </w:r>
    </w:p>
    <w:p>
      <w:pPr>
        <w:spacing w:before="80" w:after="80"/>
        <w:ind w:left="432"/>
      </w:pPr>
      <w:r>
        <w:rPr>
          <w:rFonts w:ascii="Arial" w:hAnsi="Arial"/>
          <w:b/>
          <w:color w:val="2B6CB0"/>
          <w:sz w:val="20"/>
        </w:rPr>
        <w:t>► 4. DECONTARE &amp; REDEVENȚE</w:t>
        <w:br/>
      </w:r>
      <w:r>
        <w:rPr>
          <w:rFonts w:ascii="Calibri" w:hAnsi="Calibri"/>
          <w:color w:val="2D3748"/>
          <w:sz w:val="20"/>
        </w:rPr>
        <w:t xml:space="preserve">    2% Taxă Protocol / Sustenabilitate   │   1% Redevențe Cercetare / Cadre Academice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Cerințe de Conformitate pentru Guvern și Structurile de Mediu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Pentru ca un perimetru minier, de resurse critice sau energetice să fie aprobat pentru tokenizare pe platforma GeoDigital Global, autoritățile statului respectiv (Ministerul Mediului, ANRM / Institutul Geologic Național) trebuie să furnizeze și să valideze următoarele 4 pachete de date: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Nr.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Etapă de Validare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Documentație Solicitată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Scopul în Platformă</w:t>
            </w:r>
          </w:p>
        </w:tc>
      </w:tr>
      <w:tr>
        <w:tc>
          <w:tcPr>
            <w:tcW w:type="dxa" w:w="7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Aviz de Mediu &amp; Biodiversitate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Studiu de Impact asupra Mediului (EIA) &amp; Certificat Natura 2000 / Arii Protejate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AI Gemini evaluează scorul de risc ecologic și blochează automat perimetrele cu risc major.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Cadastru &amp; Drepturi de Subsol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Extras de Carte Funciară Minieră / Licență de Explorare sau Exploatare valabilă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Garantează legătura juridică directă dintre Tokenul RWA pe blockchain și resursa fizică din teren.</w:t>
            </w:r>
          </w:p>
        </w:tc>
      </w:tr>
      <w:tr>
        <w:tc>
          <w:tcPr>
            <w:tcW w:type="dxa" w:w="7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Date Geologice Vectorizate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Raport Geologic de Contur, Hărți Seismice și Litologice (format GIS / PostGIS)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Harta este încărcată în Google Earth Engine pentru analiză spațială și vizualizare 3D.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Certificare Categoria de Resursă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Raport de Evaluare Conform Standardelor Internaționale (JORC / NI 43-101 / PERC)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Stabilește valoarea nominală de la care începe fracționalizarea tokenilor.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3. Matricea de Distribuție a Veniturilor și Redevențelor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Când un stat sau o companie licențiată scoate la vânzare globală un perimetru zăcământ, distribuția fluxului financiar se realizează după următoarea matrice: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1A365D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Destinatar</w:t>
            </w:r>
          </w:p>
        </w:tc>
        <w:tc>
          <w:tcPr>
            <w:tcW w:type="dxa" w:w="230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Procent / Mod de Calcul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Sursă Decontare</w:t>
            </w:r>
          </w:p>
        </w:tc>
        <w:tc>
          <w:tcPr>
            <w:tcW w:type="dxa" w:w="230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Mecanism de Execuție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Statul Emitent / Titularul Licenței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97.0% din capitalul atras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Vânzare Tokeni RWA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Transfer direct în trezoreria guvernamentală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Trezoreria Protocolului GeoDigital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2.0% taxă unică de emisiune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Smart Contract ($GEO)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Automat prin GeoDigitalRWA.sol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Institutul Academic / Cercetători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1.0% din licențe &amp; interogări AI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Fond Redevențe IP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Punctual către portofelele geologilor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Progresul Pas cu Pas: De la Harta de Sol la Cumpărarea Globală</w:t>
      </w:r>
    </w:p>
    <w:p>
      <w:pPr>
        <w:spacing w:before="80" w:after="80"/>
        <w:ind w:left="288"/>
      </w:pPr>
      <w:r>
        <w:rPr>
          <w:rFonts w:ascii="Calibri" w:hAnsi="Calibri"/>
          <w:b/>
          <w:color w:val="1A365D"/>
          <w:sz w:val="22"/>
        </w:rPr>
        <w:t xml:space="preserve">• 1. Pre-Fezabilitatea prin AI Gemini: </w:t>
      </w:r>
      <w:r>
        <w:rPr>
          <w:rFonts w:ascii="Calibri" w:hAnsi="Calibri"/>
          <w:color w:val="2D3748"/>
          <w:sz w:val="22"/>
        </w:rPr>
        <w:t>Ministerul sau investitorul introduce coordonatele GPS. AI-ul extrage relieful din Google Earth Engine, analizează adâncimea apei freatice și accelerația seismică și emite un Scor de Risc Pre-Fezabilitate.</w:t>
      </w:r>
    </w:p>
    <w:p>
      <w:pPr>
        <w:spacing w:before="80" w:after="80"/>
        <w:ind w:left="288"/>
      </w:pPr>
      <w:r>
        <w:rPr>
          <w:rFonts w:ascii="Calibri" w:hAnsi="Calibri"/>
          <w:b/>
          <w:color w:val="1A365D"/>
          <w:sz w:val="22"/>
        </w:rPr>
        <w:t xml:space="preserve">• 2. Validarea Instituțională: </w:t>
      </w:r>
      <w:r>
        <w:rPr>
          <w:rFonts w:ascii="Calibri" w:hAnsi="Calibri"/>
          <w:color w:val="2D3748"/>
          <w:sz w:val="22"/>
        </w:rPr>
        <w:t>Structurile de mediu încarcă avizele de neafectare a pânzei freatice/faunei și documentația cadastrală.</w:t>
      </w:r>
    </w:p>
    <w:p>
      <w:pPr>
        <w:spacing w:before="80" w:after="80"/>
        <w:ind w:left="288"/>
      </w:pPr>
      <w:r>
        <w:rPr>
          <w:rFonts w:ascii="Calibri" w:hAnsi="Calibri"/>
          <w:b/>
          <w:color w:val="1A365D"/>
          <w:sz w:val="22"/>
        </w:rPr>
        <w:t xml:space="preserve">• 3. Deploy Smart Contract RWA: </w:t>
      </w:r>
      <w:r>
        <w:rPr>
          <w:rFonts w:ascii="Calibri" w:hAnsi="Calibri"/>
          <w:color w:val="2D3748"/>
          <w:sz w:val="22"/>
        </w:rPr>
        <w:t>Se emite o cantitate fixă de tokeni (ex: 1.000.000 unități pentru 10% dintr-un proiect de litiu sau cupru).</w:t>
      </w:r>
    </w:p>
    <w:p>
      <w:pPr>
        <w:spacing w:before="80" w:after="80"/>
        <w:ind w:left="288"/>
      </w:pPr>
      <w:r>
        <w:rPr>
          <w:rFonts w:ascii="Calibri" w:hAnsi="Calibri"/>
          <w:b/>
          <w:color w:val="1A365D"/>
          <w:sz w:val="22"/>
        </w:rPr>
        <w:t xml:space="preserve">• 4. Vânzarea pe Piața Internațională: </w:t>
      </w:r>
      <w:r>
        <w:rPr>
          <w:rFonts w:ascii="Calibri" w:hAnsi="Calibri"/>
          <w:color w:val="2D3748"/>
          <w:sz w:val="22"/>
        </w:rPr>
        <w:t>Fondurile de investiții sau cetățenii cumpără tokenii direct prin platformă, oferind lichiditate instantanee statului pentru începerea lucrărilor ecologice și de extracție.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