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CORO: Divergência de tom entre gestores como sinal quantitativo de investimento</w:t>
      </w:r>
    </w:p>
    <w:p>
      <w:pPr>
        <w:spacing w:after="40"/>
        <w:jc w:val="center"/>
      </w:pPr>
      <w:r>
        <w:t>Pré-relatório · Desafio Quant AI 2026 (Itaú Asset)</w:t>
      </w:r>
    </w:p>
    <w:p>
      <w:pPr>
        <w:spacing w:after="40"/>
        <w:jc w:val="center"/>
      </w:pPr>
      <w:r>
        <w:t>Equipe: Marcelo e Caio · Orientação: Profa. Nadia Cardoso Moreira</w:t>
      </w:r>
    </w:p>
    <w:p>
      <w:pPr>
        <w:spacing w:after="40"/>
        <w:jc w:val="center"/>
      </w:pPr>
      <w:r>
        <w:t>Repositório com código, dados e replicação completa:</w:t>
      </w:r>
    </w:p>
    <w:p>
      <w:pPr>
        <w:spacing w:after="40"/>
        <w:jc w:val="center"/>
      </w:pPr>
      <w:r>
        <w:t>https://github.com/marceleann/Caio-e-Marcelo-e-Vinicius</w:t>
      </w:r>
    </w:p>
    <w:p>
      <w:pPr>
        <w:ind w:left="454" w:right="283"/>
      </w:pPr>
      <w:r>
        <w:rPr>
          <w:color w:val="555555"/>
        </w:rPr>
        <w:t>Nome do robô em definição pela equipe (alternativas em avaliação: DESAFINADO, DISSONA, OUVIDOR, CORO). O conceito é único: o robô não mede o tom médio da empresa, e sim o desalinhamento entre as vozes que a representam.</w:t>
      </w:r>
    </w:p>
    <w:p>
      <w:pPr>
        <w:pBdr>
          <w:bottom w:val="single" w:sz="6" w:space="1" w:color="D9D9D9"/>
        </w:pBdr>
        <w:spacing w:after="200"/>
      </w:pPr>
    </w:p>
    <w:p>
      <w:pPr>
        <w:pStyle w:val="Heading2"/>
      </w:pPr>
      <w:r>
        <w:t>Sumário executivo</w:t>
      </w:r>
    </w:p>
    <w:p>
      <w:r>
        <w:t>Toda earnings call é uma peça ensaiada, mas quem a executa são pessoas. Este trabalho parte de uma observação simples: quando os executivos da mesma empresa divergem no tom ao falar do mesmo trimestre, essa divergência carrega informação que a mensagem oficial não entrega. Nós transformamos essa observação em um sinal quantitativo, a Tone Distance (TD), calculada minutos após a divulgação de cada transcrição, e a testamos de ponta a ponta em 33.362 calls de 685 empresas do S&amp;P 500 entre 2005 e 2025.</w:t>
      </w:r>
    </w:p>
    <w:p>
      <w:r>
        <w:t>Os resultados sustentam a tese. No painel econométrico, empresas cujos gestores divergem mais sofrem retorno anormal menor no anúncio (estatística t de até 2,9 em módulo), entregam retornos maiores nos três meses seguintes (t=+2,1) e apresentam surpresas de lucro mais imprevisíveis no trimestre seguinte (t=+3,58 na previsão fora da amostra, nosso resultado preditivo mais forte). O quadro se repete em dois medidores de tom independentes, o dicionário Loughran-McDonald e o modelo neural FinBERT, o que afasta a hipótese de artefato de instrumento.</w:t>
      </w:r>
    </w:p>
    <w:p>
      <w:r>
        <w:t>Na implementação, uma carteira que compra todo mês as 10 empresas de maior TD rendeu +20,4% ao ano, contra +13,2% do S&amp;P 500, ao longo de 199 meses (fevereiro de 2009 a agosto de 2025), com excesso de +7,1% ao ano (t=2,60) e vitória em 13 dos 17 anos. O relatório também documenta o que não funcionou: a hipótese de que o sinal prevê volatilidade futura não passou nos testes de robustez e foi descartada, decisão que descrevemos em detalhe porque ela atesta o rigor do processo. Tudo o que está aqui é reproduzível a partir do repositório público com quatro comandos.</w:t>
      </w:r>
    </w:p>
    <w:p>
      <w:pPr>
        <w:pStyle w:val="Heading2"/>
      </w:pPr>
      <w:r>
        <w:t>1. Contexto e problema</w:t>
      </w:r>
    </w:p>
    <w:p>
      <w:r>
        <w:t>Quem acompanha teleconferências de resultados conhece a cena. O CEO abre com a mensagem preparada, o CFO percorre os números e, quando começa a sessão de perguntas, cada executivo responde com o tom que consegue sustentar ao vivo. O texto é coordenado; o tom, nem sempre. Coordenar a narrativa entre quatro ou cinco oradores é viável; coordenar o otimismo de cada um, frase a frase, sob pergunta de analista, é muito mais difícil.</w:t>
      </w:r>
    </w:p>
    <w:p>
      <w:r>
        <w:t>A premissa deste trabalho é que esse descompasso é informativo. Se o CFO soa visivelmente mais cauteloso que o CEO no mesmo call, o mercado tem diante de si um indício de desacordo interno ou de incerteza sobre o trimestre que nenhum press release admitiria. O problema de pesquisa, portanto: é possível medir essa divergência de forma sistemática, e ela tem valor econômico?</w:t>
      </w:r>
    </w:p>
    <w:p>
      <w:r>
        <w:t>Dessa premissa saem as três hipóteses que testamos, registradas antes dos testes. Primeira: quanto maior a divergência de tom, pior a reação do mercado no anúncio. Segunda: maior divergência indicaria maior risco realizado depois do anúncio. Terceira: maior divergência antecipa resultados operacionais mais imprevisíveis nos trimestres seguintes.</w:t>
      </w:r>
    </w:p>
    <w:p>
      <w:r>
        <w:t>O produto que materializa a resposta é o robô. Ele processa a transcrição de cada call, atribui cada fala ao seu orador, mede o tom de cada gestor e resume o desalinhamento em um único escore por empresa-trimestre, disponível minutos após a publicação da transcrição. Para uma mesa, isso significa um insumo utilizável no mesmo dia do evento: como sinal de seleção, como condicionante de exposição em torno de anúncios e como indicador antecedente de incerteza de resultados.</w:t>
      </w:r>
    </w:p>
    <w:p>
      <w:pPr>
        <w:pStyle w:val="Heading2"/>
      </w:pPr>
      <w:r>
        <w:t>2. Referências</w:t>
      </w:r>
    </w:p>
    <w:p>
      <w:r>
        <w:t>A ideia de que o tom da comunicação corporativa move preços tem lastro sólido na literatura. Loughran e McDonald (2011) construíram o dicionário de tom específico para finanças que virou padrão da área, ao mostrar que dicionários genéricos classificam mal a linguagem de negócios. Huang, Teoh e Zhang (2014) documentaram que gestores administram ativamente o tom de suas divulgações, e que o mercado reage ao componente anormal desse tom. Lee (2016) mostrou que investidores percebem quando executivos abandonam a espontaneidade e se apegam a roteiros durante earnings calls.</w:t>
      </w:r>
    </w:p>
    <w:p>
      <w:r>
        <w:t>O passo que origina nossa medida é de Angelo, Johnston, Singh e Wan (2025), que propuseram olhar não para o tom médio da empresa, mas para a divergência de tom entre os executivos da mesma call, batizada de Tone Distance. Nosso trabalho toma essa referência como ponto de partida e a submete a um teste independente, com universo, dados e código integralmente próprios. E adiciona uma extensão deliberada: repetimos toda a análise trocando o medidor de tom, do dicionário para o FinBERT (Yang, Uy e Huang, 2020), um modelo de linguagem treinado em textos financeiros. A lógica da extensão é de validação cruzada de instrumento: se o fenômeno é real, deve aparecer nos dois medidores; se é artefato do dicionário, a troca o elimina.</w:t>
      </w:r>
    </w:p>
    <w:p>
      <w:pPr>
        <w:pStyle w:val="Heading2"/>
      </w:pPr>
      <w:r>
        <w:t>3. Desenvolvimento: do texto bruto ao sinal</w:t>
      </w:r>
    </w:p>
    <w:p>
      <w:r>
        <w:t>A matéria-prima são 33.362 transcrições de calls de empresas que integraram o S&amp;P 500 entre 2005 e 2025 (dataset público kurry/HuggingFace, 685 empresas). Preços vêm do Yahoo Finance; fundamentos trimestrais, do SEC EDGAR, alinhados pela data de protocolo para que nenhuma informação seja usada antes de existir publicamente; a classificação setorial segue Fama e French (1997); a taxa livre de risco é a de Kenneth French.</w:t>
      </w:r>
    </w:p>
    <w:p>
      <w:r>
        <w:t>O primeiro desafio prático é saber quem fala. Cada transcrição traz milhares de falas, e o sinal exige separar gestores de analistas e operadores. Resolvemos com um classificador em dois níveis: um modelo de linguagem via linha de comando classificou os 12.678 cabeçalhos de orador distintos da base, e regras determinísticas cobrem o restante. A classificação foi auditada contra 292 rótulos manuais, com cerca de 90% de acerto (o processo completo está na Seção 9).</w:t>
      </w:r>
    </w:p>
    <w:p>
      <w:r>
        <w:t>Com os papéis atribuídos, o sinal se constrói em três passos. Cada gestor da call vira um ponto num plano definido pela fração de linguagem positiva e negativa de sua fala. Calcula-se o centro da call. A Tone Distance é a distância média dos gestores a esse centro: zero quando todos soam igual, alta quando as vozes se afastam. Exigimos no mínimo dois gestores por call, e o tom de cada fala é medido duas vezes, pelo dicionário e pelo FinBERT.</w:t>
      </w:r>
    </w:p>
    <w:p>
      <w:r>
        <w:t>Um detalhe de construção acabou virando contribuição metodológica. A definição do centro admite duas leituras: média simples dos gestores, em que cada orador pesa igual, ou tom agregado do texto completo, em que cada palavra pesa igual. A diferença não é cosmética. Em uma call da Apple de 2020, por exemplo, o profissional de relações com investidores falou apenas 283 palavras, e as únicas 6 negativas eram o aviso legal padrão sobre riscos e incertezas; na média simples, esse orador marginal respondia por um terço do sinal da call. A leitura agregada, e além dela a ponderação explícita pelo volume de fala de cada gestor, elimina essa contaminação. Como se verá na Seção 5, os resultados enfraquecem monotonicamente à medida que se dá peso a oradores marginais, o que transforma o detalhe em diagnóstico. A implementação foi verificada por reimplementação independente nas 32.387 calls elegíveis, com diferença máxima da ordem de 10⁻¹⁶.</w:t>
      </w:r>
    </w:p>
    <w:p>
      <w:pPr>
        <w:pStyle w:val="Heading2"/>
      </w:pPr>
      <w:r>
        <w:t>4. Método de teste</w:t>
      </w:r>
    </w:p>
    <w:p>
      <w:r>
        <w:t>Os retornos anormais seguem o modelo de mercado: beta estimado por CAPM em janela de 100 pregões (mínimo de 70), separada do evento por 50 pregões, e resíduo acumulado nas janelas de 1, 2 e 5 pregões ao redor do anúncio. Calls realizadas após o fechamento (27% da amostra) são ancoradas no pregão seguinte, respeitando o horário real em que a informação chegou ao mercado.</w:t>
      </w:r>
    </w:p>
    <w:p>
      <w:r>
        <w:t>O teste central é um painel com efeitos fixos de empresa e de ano-trimestre, erros agrupados por empresa e winsorização em 5/95, com controles de tamanho, valor, alavancagem, rentabilidade, surpresa de lucro, momentum e reversão. O efeito fixo de empresa importa para a leitura: o coeficiente não compara a Apple com a Exxon, compara a Apple de um trimestre com a própria Apple típica. O sinal mede, portanto, o desvio da empresa em relação ao seu padrão usual de alinhamento.</w:t>
      </w:r>
    </w:p>
    <w:p>
      <w:r>
        <w:t>Para a implementação, desenhamos dois backtests independentes, ambos com custos e com a garantia, auditada nos scripts, de que nenhuma informação futura entra na seleção. O primeiro executa a tese da forma mais direta possível: ao fim de cada mês, compra em pesos iguais as 10 empresas de maior TD (call mais recente dos três meses anteriores), carrega por um mês e rebalanceia, pagando 10 pontos-base por lado sobre o giro. O segundo é um long-short por quintis em formato calendar-time, com especificação congelada antes da execução: entrada no pregão seguinte à call, manutenção de 63 pregões, ranking contra os 90 dias anteriores, custos de 5 pontos-base por perna, amostra 2006 a 2025.</w:t>
      </w:r>
    </w:p>
    <w:p>
      <w:r>
        <w:t>Todos os números deste relatório saem de scripts versionados no repositório público. Um avaliador reproduz as regressões e os backtests com quatro comandos, sem reprocessar transcrições; o procedimento foi testado em clone limpo, com números idênticos.</w:t>
      </w:r>
    </w:p>
    <w:p>
      <w:pPr>
        <w:pStyle w:val="Heading2"/>
      </w:pPr>
      <w:r>
        <w:t>5. Resultados econométricos</w:t>
      </w:r>
    </w:p>
    <w:p>
      <w:r>
        <w:t>Antes das regressões, validamos a base. A distribuição da nossa TD (média 0,0086, mediana 0,0080, desvio 0,0047) é aderente à da referência (0,0079, 0,0074, 0,0048), e os controles reconstruídos batem com os publicados: alavancagem 0,24 contra 0,235, alíquota efetiva mediana 0,22 contra 0,21, suavização de lucros 1,6 contra 1,4. Partimos, portanto, de uma base comparável.</w:t>
      </w:r>
    </w:p>
    <w:p>
      <w:r>
        <w:t>A primeira hipótese se confirma na amostra completa. A tabela reporta as estatísticas t do coeficiente da TD sobre o retorno anormal do anúncio, nas três janelas de evento, para as três construções do sinal e os dois medidores (amostra de 2009 em diante, cerca de 23 mil eventos e 540 empresas):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construção do sinal</w:t>
            </w:r>
          </w:p>
        </w:tc>
        <w:tc>
          <w:tcPr>
            <w:tcW w:type="dxa" w:w="302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LM (dicionário)</w:t>
            </w:r>
          </w:p>
        </w:tc>
        <w:tc>
          <w:tcPr>
            <w:tcW w:type="dxa" w:w="302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FinBERT (neural)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média simples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 / −0,6 / −0,3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+0,1 / −0,2 / −0,5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tom agregado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−2,0 / −2,1 / −1,7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−1,9 / −2,3 / −2,3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ponderada pelo volume de fala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−2,9 / −2,7 / −2,3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−2,4 / −2,4 / −2,5</w:t>
            </w:r>
          </w:p>
        </w:tc>
      </w:tr>
    </w:tbl>
    <w:p>
      <w:pPr>
        <w:spacing w:after="40"/>
      </w:pPr>
    </w:p>
    <w:p>
      <w:r>
        <w:t>(t nas janelas de 1, 2 e 5 pregões. Em termos econômicos, uma variação interquartil de TD corresponde a algo entre 0,11% e 0,16% a menos de retorno anormal no anúncio.)</w:t>
      </w:r>
    </w:p>
    <w:p>
      <w:r>
        <w:t>Três leituras. A hipótese central replica quando o sinal respeita o volume de fala de cada gestor. A progressão entre as linhas é monotônica: quanto mais peso ao ruído dos oradores marginais, mais fraco o sinal, exatamente o diagnóstico da Seção 3. E os dois medidores, que concordam entre si em apenas 38%, contam a mesma história, o que afasta artefato de instrumento.</w:t>
      </w:r>
    </w:p>
    <w:p>
      <w:r>
        <w:t>O efeito não termina no anúncio. No painel mensal, o retorno dos três meses seguintes à call cresce com a TD (t=+2,1 no dicionário, +1,8 no FinBERT), controlando por valor, momentum, tamanho e reversão. O quadro combinado é economicamente coerente: o mercado penaliza a empresa divergente no ato e cobra um prêmio para carregá-la nos meses seguintes.</w:t>
      </w:r>
    </w:p>
    <w:p>
      <w:r>
        <w:t>A terceira hipótese entrega o resultado preditivo mais forte do projeto. A magnitude da surpresa de lucro do trimestre seguinte cresce com a TD (t=+2,2 no painel), e no exercício de previsão fora da amostra, em que o modelo é treinado apenas com o passado e usado para prever eventos futuros, a relação alcança t=+3,58, com acerto direcional em 71% dos trimestres. Em outras palavras: a divergência de hoje avisa que o próximo balanço vem com surpresa grande, para qualquer lado.</w:t>
      </w:r>
    </w:p>
    <w:p>
      <w:r>
        <w:t>A segunda hipótese, a de risco, não sobreviveu, e o caminho até essa conclusão merece registro. Na amostra completa existe associação entre TD e volatilidade futura (t=+2,5 no dicionário). A investigação mostrou, porém, que janelas de volatilidade que começam no dia seguinte ao anúncio ainda contêm a reação ao próprio anúncio, e empresas de TD alta reagem mais (que é justamente a primeira hipótese). Medida a partir do segundo dia, fora desse eco, a associação perde significância (t=+1,3). Nos testes de robustez, nenhuma das 16 especificações predefinidas mostrou poder de previsão. A conclusão honesta: a TD não informa sobre risco futuro nada que a volatilidade passada já não diga, e o canal foi descartado como sinal. Permanece verdadeiro, como descrição, que empresas de TD alta são em média mais voláteis, e esse fato retorna na interpretação do backtest.</w:t>
      </w:r>
    </w:p>
    <w:p>
      <w:r>
        <w:t>Fechamos a seção com a robustez temporal, apresentada sem tecnicismo. Reestimamos tudo usando apenas os dados disponíveis até cada data de corte e conferimos no período posterior, além da previsão por evento fora da amostra. O coeficiente da primeira hipótese tem o mesmo sinal negativo em todos os cortes analisados, e a previsão fora da amostra confirma (t=−2,12, com resultado negativo em cada um dos anos de 2019 a 2025); a camada de retornos subsequentes mantém coeficiente positivo em todos os cortes; a terceira hipótese sustenta o t=+3,58 já citado. Nos primeiros anos, com menos dados acumulados, os intervalos de confiança são mais largos, como se espera de um efeito estável estimado com precisão crescente. A exceção é a hipótese de risco, reprovada nesses mesmos exercícios (t=+0,27), o que motivou o descarte. O mesmo protocolo que valida duas hipóteses reprova a terceira; o critério não é complacente.</w:t>
      </w:r>
    </w:p>
    <w:p>
      <w:pPr>
        <w:pStyle w:val="Heading2"/>
      </w:pPr>
      <w:r>
        <w:t>6. Backtest</w:t>
      </w:r>
    </w:p>
    <w:p>
      <w:r>
        <w:t>A implementação principal executa a tese da forma que um gestor reconheceria: carteira comprada, regra fixa, rebalanceamento mensal. Os números de 199 meses (fevereiro de 2009 a agosto de 2025):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F2E5D9"/>
          </w:tcPr>
          <w:p>
            <w:pPr>
              <w:spacing w:after="20"/>
              <w:jc w:val="left"/>
            </w:pP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bruto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líquido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 TD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elegível EW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acumulado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+2.061%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+1.783%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+959%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+1.208%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+682%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ao ano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+20,4%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+15,3%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+16,8%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+13,2%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Volatilidade a.a.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17,4%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17,3%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14,9%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Sharpe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1,01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0,96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0,99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Drawdown máximo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−25%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ano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EW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2009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+44,6%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+61,3%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+35,0%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2010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+10,1%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+12,8%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2011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+8,6%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+0,5%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−0,0%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2012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+39,3%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+24,6%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+20,2%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+13,4%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2013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+30,5%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+37,8%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+29,6%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2014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+10,3%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2015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+5,9%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2016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+17,6%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+9,5%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2017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+18,2%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+12,8%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+21,6%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2018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−14,5%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−7,2%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−6,2%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2019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+44,5%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+27,1%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+31,5%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+28,9%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2020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+2,7%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+16,3%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2021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+20,0%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+31,3%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+26,9%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2022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−14,1%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−19,4%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2023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+37,6%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+14,7%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+17,8%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+24,2%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2024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+18,9%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+23,3%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2025*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+16,2%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+7,5%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+9,8%</w:t>
            </w:r>
          </w:p>
        </w:tc>
      </w:tr>
    </w:tbl>
    <w:p>
      <w:pPr>
        <w:spacing w:after="40"/>
      </w:pPr>
    </w:p>
    <w:p>
      <w:r>
        <w:t>(</w:t>
      </w:r>
      <w:r>
        <w:rPr>
          <w:i/>
        </w:rPr>
        <w:t>2025 até agosto. Giro médio de 34% ao mês. As composições são verificáveis; agosto de 2025, por exemplo: HII, MCD, CAH, ES, MCK, MTCH, CSCO, ANET, PODD, ABNB. Séries e composições completas em data/interim/sp500/port10_</w:t>
      </w:r>
      <w:r>
        <w:t>.csv; replicação por scripts/sp500_port10.py.)</w:t>
      </w:r>
    </w:p>
    <w:p>
      <w:r>
        <w:t>A leitura desses números pede honestidade de atribuição, e a fazemos em duas camadas. Contra o S&amp;P 500, o excesso é de +7,1% ao ano com t=2,60, vitória em 58% dos meses e em 13 dos 17 anos; é o número de manchete, e é real. Mas uma carteira de pesos iguais não deve ser comparada apenas a um índice ponderado por valor, e por isso construímos a régua mais exigente: o próprio universo elegível em pesos iguais. Contra ela, a seleção por TD adiciona +3,6% ao ano (t=1,59), positiva em todos os subperíodos que examinamos (de 2010 em diante, +1,8%; de 2015 em diante, +1,9%; de 2019 em diante, +2,6% ao ano), embora sem significância isolada, o que é a consequência esperada de concentrar em 10 ativos, onde o ruído específico de cada nome domina. A carteira espelho, com as 10 empresas de menor TD, rende +15,3% ao ano, 5,1 pontos abaixo do top-10, na direção prevista pela tese.</w:t>
      </w:r>
    </w:p>
    <w:p>
      <w:r>
        <w:t>O long-short por quintis, na especificação congelada, não monetiza: os retornos líquidos anualizados ficam entre +0,3% e +4,4% conforme a construção, com o melhor Sharpe em 0,22, estatisticamente nulo, contra 0,53 do mercado no período. O diagnóstico de pernas explica o porquê: a correlação entre as pontas é de apenas 0,6, e o quintil alto do sinal FinBERT carrega exposição a ações de baixa volatilidade, um fator de risco, não tom. Registramos as 6 construções testadas e as contabilizamos para o ajuste de múltiplas tentativas (Deflated Sharpe, Bailey e López de Prado, 2014) na entrega final.</w:t>
      </w:r>
    </w:p>
    <w:p>
      <w:r>
        <w:t>O perfil de risco fecha a interpretação. O top-10 realiza volatilidade maior que todas as réguas (20,6% contra 17,3% a 17,4%) e Sharpe semelhante ao do universo (1,01 contra 0,99). O retorno adicional, portanto, remunera risco adicional: é prêmio de compensação por carregar as empresas cuja diretoria diverge, não anomalia gratuita, e isso é coerente com a associação descritiva entre TD e volatilidade da Seção 5. Para a mesa, as aplicações que a evidência sustenta são quatro: tilt direcional sobre um portfólio core; condicionamento de exposição em torno de anúncios, já que o escore existe minutos após cada call; posicionamento de volatilidade no próximo anúncio das empresas de divergência alta, apoiado na previsão de surpresa de lucro; e insumo em arcabouço multifator, cuja engenharia é o objeto da entrega final.</w:t>
      </w:r>
    </w:p>
    <w:p>
      <w:pPr>
        <w:pStyle w:val="Heading2"/>
      </w:pPr>
      <w:r>
        <w:t>7. Riscos e limitações</w:t>
      </w:r>
    </w:p>
    <w:p>
      <w:pPr>
        <w:ind w:left="425" w:hanging="255"/>
        <w:jc w:val="both"/>
      </w:pPr>
      <w:r>
        <w:t>1. Os papéis de orador foram reconstruídos por classificador próprio, com cerca de 90% de acerto validado; as bases comerciais curadas da literatura não têm esse ruído, e parte da diferença de magnitude entre nossas estatísticas e as publicadas pode vir daí.</w:t>
      </w:r>
    </w:p>
    <w:p>
      <w:pPr>
        <w:ind w:left="425" w:hanging="255"/>
        <w:jc w:val="both"/>
      </w:pPr>
      <w:r>
        <w:t>2. Algumas variáveis usam proxies: surpresa de lucro via Yahoo Finance em vez de I/B/E/S, e dois controles da literatura (participação institucional e qualidade de accruals) não foram reconstruídos; os demais 17, sim.</w:t>
      </w:r>
    </w:p>
    <w:p>
      <w:pPr>
        <w:ind w:left="425" w:hanging="255"/>
        <w:jc w:val="both"/>
      </w:pPr>
      <w:r>
        <w:t>3. Cerca de 3,4 mil eventos ficaram sem retorno anormal por falta de preços de empresas deslistadas em fonte gratuita, uma limitação de sobrevivência declarada.</w:t>
      </w:r>
    </w:p>
    <w:p>
      <w:pPr>
        <w:ind w:left="425" w:hanging="255"/>
        <w:jc w:val="both"/>
      </w:pPr>
      <w:r>
        <w:t>4. O efeito no anúncio, de cerca de 0,15% por variação interquartil, não paga custos como estratégia isolada de arbitragem do evento em large caps; por isso a implementação proposta é de tilt, condicionamento e volatilidade, e não de arbitragem do anúncio.</w:t>
      </w:r>
    </w:p>
    <w:p>
      <w:pPr>
        <w:ind w:left="425" w:hanging="255"/>
        <w:jc w:val="both"/>
      </w:pPr>
      <w:r>
        <w:t>5. Com 10 ativos, o excesso sobre o universo em pesos iguais é consistente mas não significativo isoladamente; diversificar além de 10 nomes é o caminho natural da entrega final.</w:t>
      </w:r>
    </w:p>
    <w:p>
      <w:pPr>
        <w:ind w:left="425" w:hanging="255"/>
        <w:jc w:val="both"/>
      </w:pPr>
      <w:r>
        <w:t>6. A definição do centro da call admite duas construções na literatura; reportamos as duas, e a escolha da agregada não foi guiada por resultado, e sim pela evidência textual da referência e pelo diagnóstico de ruído da Seção 3.</w:t>
      </w:r>
    </w:p>
    <w:p>
      <w:pPr>
        <w:pStyle w:val="Heading2"/>
      </w:pPr>
      <w:r>
        <w:t>8. Conclusão e tese de investimento</w:t>
      </w:r>
    </w:p>
    <w:p>
      <w:r>
        <w:t>O pré-relatório estabelece que a divergência de tom entre gestores é informação precificada. Confirmamos o fenômeno em universo independente, com dados públicos e código próprio; mostramos que ele sobrevive à troca completa do medidor de tom, do dicionário ao modelo neural; e o transformamos em estratégia implementável, com custos e auditoria de ausência de informação futura.</w:t>
      </w:r>
    </w:p>
    <w:p>
      <w:r>
        <w:t>A tese de investimento, em um parágrafo: a divergência de tom entre os executivos na earnings call é informação precificada em dois tempos. No anúncio, o mercado penaliza a empresa cuja diretoria diverge, um efeito condicional negativo e estável no tempo. Nos meses seguintes, carregar as empresas de maior divergência captura um prêmio de compensação: a carteira das 10 maiores TD rendeu +20,4% ao ano contra +13,2% do S&amp;P 500 em 16 anos e meio, remunerando o risco adicional que o próprio sinal identifica. O mesmo escore antecipa a magnitude da surpresa do lucro seguinte, servindo de termômetro de incerteza antes de cada anúncio. A implementação recomendada combina tilt direcional, condicionamento de exposição a eventos e posicionamento de volatilidade, com a integração multifator como objeto da entrega final.</w:t>
      </w:r>
    </w:p>
    <w:p>
      <w:r>
        <w:t>Registramos também a fronteira que não avançou. Testamos o sinal em 2.250 firmas fora do S&amp;P 500 (2019 a 2023), com especificações congeladas por pré-registro antes de qualquer resultado (docs/PREREG_MF.md, com data registrada em git). O painel resultou inconclusivo por falta de potência: coeficientes positivos, não significativos, com janela curta e cobertura de preços de 69%. No mesmo período, o efeito segue presente nas large caps (t=−1,96), o que aponta a causa para o universo e a qualidade dos dados, não para a época. A fronteira permanece documentada e não é apresentada como resultado.</w:t>
      </w:r>
    </w:p>
    <w:p>
      <w:r>
        <w:t>Até a entrega final (17/08), a agenda tem três itens: desenhar a integração multifator do escore, com contagem de tentativas e Deflated Sharpe; fechar a robustez de custos e a análise de decaimento do sinal; e, havendo dados de preços de deslistadas, revisitar a fronteira de small e mid caps com o pré-registro já versionado.</w:t>
      </w:r>
    </w:p>
    <w:p>
      <w:r>
        <w:t>Uma nota de método encerra. Em amostra completa, as três hipóteses pareciam confirmadas. Foram os exercícios de robustez temporal que separaram os efeitos reais (precificação, retornos subsequentes e incerteza operacional) do artefato (risco). Esse protocolo, aplicado sem exceção e documentado no repositório, é parte central do que a equipe leva para a entrega final.</w:t>
      </w:r>
    </w:p>
    <w:p>
      <w:pPr>
        <w:pStyle w:val="Heading2"/>
      </w:pPr>
      <w:r>
        <w:t>9. Uso de IA generativa no processo</w:t>
      </w:r>
    </w:p>
    <w:p>
      <w:r>
        <w:t>O uso de GenAI neste trabalho é operacional e auditável, não declaratório. Primeiro, no núcleo do pipeline: um processo por linha de comando (claude -p, modelo Haiku) classificou os 12.678 cabeçalhos de orador em lotes, com cache versionado e reprocessamento determinístico, em cerca de 4,6 horas de execução; a validação usou matriz de confusão contra 292 rótulos manuais (cerca de 90% de acerto global) e um classificador determinístico independente para comparação (99% de concordância nos casos frequentes), com prompt, custos e validação documentados em docs/GENAI_USAGE.md. Segundo, como par de engenharia e auditoria ao longo de todo o processo: arquitetura do pipeline, código, testes, documentação e, com impacto direto no resultado, a auditoria da fórmula do centro da call, conduzida em par com o assistente (Claude), com as decisões econômicas e metodológicas sempre da equipe. Por fim, uma distinção de honestidade conceitual: o FinBERT é um modelo de linguagem do tipo encoder, parte do modelo quantitativo; é permitido pelo edital, mas o contabilizamos como NLP/ML, não como IA generativa.</w:t>
      </w:r>
    </w:p>
    <w:p>
      <w:pPr>
        <w:pStyle w:val="Heading2"/>
      </w:pPr>
      <w:r>
        <w:t>Referências</w:t>
      </w:r>
    </w:p>
    <w:p>
      <w:r>
        <w:t>Angelo, Johnston, Singh e Wan (2025). Tone Distance: Managerial Tone Divergence and Market Reaction to Earnings. The Financial Review.</w:t>
      </w:r>
    </w:p>
    <w:p>
      <w:r>
        <w:t>Bailey, D. H., e López de Prado, M. (2014). The Deflated Sharpe Ratio: Correcting for Selection Bias, Backtest Overfitting, and Non-Normality. The Journal of Portfolio Management, 40(5).</w:t>
      </w:r>
    </w:p>
    <w:p>
      <w:r>
        <w:t>Fama, E. F., e French, K. R. (1997). Industry Costs of Equity. Journal of Financial Economics, 43(2).</w:t>
      </w:r>
    </w:p>
    <w:p>
      <w:r>
        <w:t>Huang, X., Teoh, S. H., e Zhang, Y. (2014). Tone Management. The Accounting Review, 89(3).</w:t>
      </w:r>
    </w:p>
    <w:p>
      <w:r>
        <w:t>Lee, J. (2016). Can Investors Detect Managers' Lack of Spontaneity? Adherence to Predetermined Scripts during Earnings Conference Calls. The Accounting Review, 91(1).</w:t>
      </w:r>
    </w:p>
    <w:p>
      <w:r>
        <w:t>Loughran, T., e McDonald, B. (2011). When Is a Liability Not a Liability? Textual Analysis, Dictionaries, and 10-Ks. The Journal of Finance, 66(1).</w:t>
      </w:r>
    </w:p>
    <w:p>
      <w:r>
        <w:t>Yang, Y., Uy, M. C. S., e Huang, A. (2020). FinBERT: A Pretrained Language Model for Financial Communications. arXiv:2006.08097.</w:t>
      </w:r>
    </w:p>
    <w:p>
      <w:pPr>
        <w:pBdr>
          <w:bottom w:val="single" w:sz="6" w:space="1" w:color="D9D9D9"/>
        </w:pBdr>
        <w:spacing w:after="200"/>
      </w:pPr>
    </w:p>
    <w:p>
      <w:r>
        <w:t>Todos os números deste relatório saem de scripts versionados no repositório e foram reproduzidos em clone limpo. Nenhum número foi digitado à mão.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C451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C451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