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CORO — Divergência de tom entre gestores como sinal quantitativo</w:t>
      </w:r>
    </w:p>
    <w:p>
      <w:pPr>
        <w:spacing w:after="40"/>
        <w:jc w:val="center"/>
      </w:pPr>
      <w:r>
        <w:rPr>
          <w:b/>
        </w:rPr>
        <w:t>Pré-relatório · Desafio Quant AI 2026 (Itaú Asset)</w:t>
      </w:r>
    </w:p>
    <w:p>
      <w:pPr>
        <w:spacing w:after="40"/>
        <w:jc w:val="center"/>
      </w:pPr>
      <w:r>
        <w:t>Equipe: Marcelo e Caio · Orientação: Profa. Nadia Cardoso Moreira</w:t>
      </w:r>
    </w:p>
    <w:p>
      <w:pPr>
        <w:spacing w:after="40"/>
        <w:jc w:val="center"/>
      </w:pPr>
      <w:r>
        <w:t>Repositório (código + dados derivados + replicação em 4 comandos):</w:t>
      </w:r>
    </w:p>
    <w:p>
      <w:pPr>
        <w:spacing w:after="40"/>
        <w:jc w:val="center"/>
      </w:pPr>
      <w:r>
        <w:t>https://github.com/marceleann/Caio-e-Marcelo-e-Vinicius</w:t>
      </w:r>
    </w:p>
    <w:p>
      <w:pPr>
        <w:ind w:left="454" w:right="283"/>
      </w:pPr>
      <w:r>
        <w:rPr>
          <w:b/>
          <w:color w:val="555555"/>
        </w:rPr>
        <w:t>[NOME A CONFIRMAR PELO TIME]</w:t>
      </w:r>
      <w:r>
        <w:rPr>
          <w:color w:val="555555"/>
        </w:rPr>
        <w:t xml:space="preserve"> Em avaliação: </w:t>
      </w:r>
      <w:r>
        <w:rPr>
          <w:b/>
          <w:color w:val="555555"/>
        </w:rPr>
        <w:t>DESAFINADO</w:t>
      </w:r>
      <w:r>
        <w:rPr>
          <w:color w:val="555555"/>
        </w:rPr>
        <w:t xml:space="preserve"> ("quando a diretoria desafina, o mercado ouve"), </w:t>
      </w:r>
      <w:r>
        <w:rPr>
          <w:b/>
          <w:color w:val="555555"/>
        </w:rPr>
        <w:t>DISSONA</w:t>
      </w:r>
      <w:r>
        <w:rPr>
          <w:color w:val="555555"/>
        </w:rPr>
        <w:t xml:space="preserve">, </w:t>
      </w:r>
      <w:r>
        <w:rPr>
          <w:b/>
          <w:color w:val="555555"/>
        </w:rPr>
        <w:t>OUVIDOR</w:t>
      </w:r>
      <w:r>
        <w:rPr>
          <w:color w:val="555555"/>
        </w:rPr>
        <w:t xml:space="preserve"> ou </w:t>
      </w:r>
      <w:r>
        <w:rPr>
          <w:b/>
          <w:color w:val="555555"/>
        </w:rPr>
        <w:t>CORO</w:t>
      </w:r>
      <w:r>
        <w:rPr>
          <w:color w:val="555555"/>
        </w:rPr>
        <w:t>. Qualquer que seja a escolha, o nome resume a tese em uma imagem: não medimos o tom médio da empresa, e sim o desalinhamento entre as vozes que a representam.</w:t>
      </w:r>
    </w:p>
    <w:p>
      <w:pPr>
        <w:pBdr>
          <w:bottom w:val="single" w:sz="6" w:space="1" w:color="D9D9D9"/>
        </w:pBdr>
        <w:spacing w:after="200"/>
      </w:pPr>
    </w:p>
    <w:p>
      <w:pPr>
        <w:pStyle w:val="Heading2"/>
      </w:pPr>
      <w:r>
        <w:t>Resumo executivo — a história em uma página</w:t>
      </w:r>
    </w:p>
    <w:p>
      <w:r>
        <w:rPr>
          <w:b/>
        </w:rPr>
        <w:t>O ponto de partida.</w:t>
      </w:r>
      <w:r>
        <w:t xml:space="preserve"> Numa teleconferência de resultados, a empresa ensaia uma mensagem única — mas várias vozes a entregam: CEO, CFO, diretores. A tese deste trabalho é que, quando essas vozes desafinam entre si, isso é informação: desacordo interno e incerteza que a mensagem oficial tenta uniformizar, mas que o Q&amp;A ao vivo não deixa esconder. Essa divergência tem medida (a </w:t>
      </w:r>
      <w:r>
        <w:rPr>
          <w:b/>
        </w:rPr>
        <w:t>Tone Distance</w:t>
      </w:r>
      <w:r>
        <w:t xml:space="preserve"> de Angelo et al., 2025) e, mostramos, tem preço. Replicamos o artigo do zero no S&amp;P 500 — 33.362 calls, 685 empresas, 2005–2025, dados 100% públicos — com uma única inovação deliberada: um segundo medidor de tom, o modelo neural FinBERT, ao lado do dicionário Loughran-McDonald do artigo.</w:t>
      </w:r>
    </w:p>
    <w:p>
      <w:r>
        <w:rPr>
          <w:b/>
        </w:rPr>
        <w:t>O que encontramos, em três atos.</w:t>
      </w:r>
      <w:r>
        <w:t xml:space="preserve"> </w:t>
      </w:r>
      <w:r>
        <w:rPr>
          <w:i/>
        </w:rPr>
        <w:t>Primeiro:</w:t>
      </w:r>
      <w:r>
        <w:t xml:space="preserve"> a hipótese central replica — o mercado penaliza no anúncio a empresa cujos gestores divergem (t até −2,9, e o resultado sobrevive à troca completa do sensor de tom). No caminho, um achado próprio: a fórmula do artigo admite duas leituras, e diagnosticar qual delas separa sinal de ruído (o peso de fala de cada gestor) virou contribuição metodológica. </w:t>
      </w:r>
      <w:r>
        <w:rPr>
          <w:i/>
        </w:rPr>
        <w:t>Segundo:</w:t>
      </w:r>
      <w:r>
        <w:t xml:space="preserve"> a tese vira carteira — comprar todo mês as 10 empresas de maior Tone Distance rendeu </w:t>
      </w:r>
      <w:r>
        <w:rPr>
          <w:b/>
        </w:rPr>
        <w:t>+20,4% ao ano contra +13,2% do S&amp;P 500</w:t>
      </w:r>
      <w:r>
        <w:t xml:space="preserve"> em 16 anos e meio (excesso com t=2,60), com a leitura honesta de que parte disso é o equal-weight e o tilt próprio da seleção (+3,6% a.a. sobre o universo equivalente) é consistente em todos os subperíodos, mas não significativo com só 10 nomes. </w:t>
      </w:r>
      <w:r>
        <w:rPr>
          <w:i/>
        </w:rPr>
        <w:t>Terceiro:</w:t>
      </w:r>
      <w:r>
        <w:t xml:space="preserve"> o sinal prevê a </w:t>
      </w:r>
      <w:r>
        <w:rPr>
          <w:b/>
        </w:rPr>
        <w:t>incerteza do próximo balanço</w:t>
      </w:r>
      <w:r>
        <w:t xml:space="preserve"> (t=+3,58, nosso resultado prospectivo mais forte) — divergência hoje antecipa surpresa de lucro grande no trimestre seguinte.</w:t>
      </w:r>
    </w:p>
    <w:p>
      <w:r>
        <w:rPr>
          <w:b/>
        </w:rPr>
        <w:t>O que o trabalho descarta — e por que isso vale tanto quanto o que valida.</w:t>
      </w:r>
      <w:r>
        <w:t xml:space="preserve"> Das três hipóteses do artigo, a de risco (H2) morre na validação temporal: verdadeira como descrição, vazia como sinal. O detalhe central: em amostra cheia, as </w:t>
      </w:r>
      <w:r>
        <w:rPr>
          <w:b/>
        </w:rPr>
        <w:t>três</w:t>
      </w:r>
      <w:r>
        <w:t xml:space="preserve"> hipóteses pareciam confirmadas em 48 de 48 momentos testados — só separar passado de futuro distingue achado real de miragem estatística. Esse filtro, aplicado sem exceção, é o que sustenta cada número deste relatório; todos saem de scripts versionados num repositório público e se reproduzem em 4 comandos.</w:t>
      </w:r>
    </w:p>
    <w:p>
      <w:r>
        <w:rPr>
          <w:i/>
        </w:rPr>
        <w:t>(As seções seguem os critérios do edital: identidade §1, conceito e hipóteses §2, dados e modelagem §3, resultados e validação §4, backtest e estratégia §5, análise crítica §6, conclusão §7, uso de GenAI §8.)</w:t>
      </w:r>
    </w:p>
    <w:p>
      <w:pPr>
        <w:pBdr>
          <w:bottom w:val="single" w:sz="6" w:space="1" w:color="D9D9D9"/>
        </w:pBdr>
        <w:spacing w:after="200"/>
      </w:pPr>
    </w:p>
    <w:p>
      <w:pPr>
        <w:pStyle w:val="Heading2"/>
      </w:pPr>
      <w:r>
        <w:t>1. Identidade do robô</w:t>
      </w:r>
    </w:p>
    <w:p>
      <w:r>
        <w:t>O CORO processa a transcrição de cada teleconferência de resultados (</w:t>
      </w:r>
      <w:r>
        <w:rPr>
          <w:i/>
        </w:rPr>
        <w:t>earnings call</w:t>
      </w:r>
      <w:r>
        <w:t xml:space="preserve">) e transforma uma pergunta qualitativa — "os executivos da empresa estão alinhados no que dizem?" — em um número: a </w:t>
      </w:r>
      <w:r>
        <w:rPr>
          <w:b/>
        </w:rPr>
        <w:t>Tone Distance</w:t>
      </w:r>
      <w:r>
        <w:t xml:space="preserve"> (distância de tom), a dispersão do tom entre os gestores que falam na mesma call. A saída é objetiva e operacionalizável: um escore por empresa-trimestre, disponível minutos após a divulgação da transcrição, usável como sinal de seleção e como indicador de risco.</w:t>
      </w:r>
    </w:p>
    <w:p>
      <w:pPr>
        <w:pStyle w:val="Heading2"/>
      </w:pPr>
      <w:r>
        <w:t>2. Conceito e hipótese (o fenômeno, a justificativa, o teste)</w:t>
      </w:r>
    </w:p>
    <w:p>
      <w:r>
        <w:rPr>
          <w:b/>
        </w:rPr>
        <w:t>Fenômeno.</w:t>
      </w:r>
      <w:r>
        <w:t xml:space="preserve"> Numa earnings call, a empresa ensaia uma mensagem única, mas vários executivos falam (CEO, CFO, diretores). Quando os tons deles divergem entre si, essa divergência pode revelar informação privada que a mensagem oficial tenta uniformizar: desacordo interno, incerteza sobre o trimestre, narrativas que não fecham.</w:t>
      </w:r>
    </w:p>
    <w:p>
      <w:r>
        <w:rPr>
          <w:b/>
        </w:rPr>
        <w:t>Justificativa econômica.</w:t>
      </w:r>
      <w:r>
        <w:t xml:space="preserve"> A literatura de </w:t>
      </w:r>
      <w:r>
        <w:rPr>
          <w:i/>
        </w:rPr>
        <w:t>disclosure</w:t>
      </w:r>
      <w:r>
        <w:t xml:space="preserve"> mostra que o mercado extrai informação do que é mais difícil de gerenciar na comunicação (Huang et al. 2014; Lee 2016). A divergência entre gestores é cara de coordenar em tempo real no Q&amp;A. Angelo, Johnston, Singh e Wan (2025, </w:t>
      </w:r>
      <w:r>
        <w:rPr>
          <w:i/>
        </w:rPr>
        <w:t>The Financial Review</w:t>
      </w:r>
      <w:r>
        <w:t>) formalizam a medida (Tone Distance) e documentam, em ~188 mil calls americanas: retorno anormal negativo no anúncio, risco futuro maior e retorno médio maior nos meses seguintes (compensação pelo risco revelado).</w:t>
      </w:r>
    </w:p>
    <w:p>
      <w:r>
        <w:rPr>
          <w:b/>
        </w:rPr>
        <w:t>Hipóteses testáveis</w:t>
      </w:r>
      <w:r>
        <w:t xml:space="preserve"> (as três do artigo, pré-registradas):</w:t>
      </w:r>
    </w:p>
    <w:p>
      <w:pPr>
        <w:pStyle w:val="ListBullet"/>
        <w:jc w:val="both"/>
      </w:pPr>
      <w:r>
        <w:rPr>
          <w:b/>
        </w:rPr>
        <w:t>H1</w:t>
      </w:r>
      <w:r>
        <w:t>: mais Tone Distance → retorno anormal (CAR) menor no anúncio;</w:t>
      </w:r>
    </w:p>
    <w:p>
      <w:pPr>
        <w:pStyle w:val="ListBullet"/>
        <w:jc w:val="both"/>
      </w:pPr>
      <w:r>
        <w:rPr>
          <w:b/>
        </w:rPr>
        <w:t>H2</w:t>
      </w:r>
      <w:r>
        <w:t>: mais Tone Distance → mais risco realizado após o anúncio;</w:t>
      </w:r>
    </w:p>
    <w:p>
      <w:pPr>
        <w:pStyle w:val="ListBullet"/>
        <w:jc w:val="both"/>
      </w:pPr>
      <w:r>
        <w:rPr>
          <w:b/>
        </w:rPr>
        <w:t>H3</w:t>
      </w:r>
      <w:r>
        <w:t>: mais Tone Distance → piora de resultados operacionais futuros.</w:t>
      </w:r>
    </w:p>
    <w:p>
      <w:r>
        <w:rPr>
          <w:b/>
        </w:rPr>
        <w:t>Como testamos.</w:t>
      </w:r>
      <w:r>
        <w:t xml:space="preserve"> Replicação fiel do desenho econométrico do artigo em universo, dados e código próprios — e, como contribuição, a mesma bateria com </w:t>
      </w:r>
      <w:r>
        <w:rPr>
          <w:b/>
        </w:rPr>
        <w:t>dois sensores de tom independentes</w:t>
      </w:r>
      <w:r>
        <w:t xml:space="preserve"> (léxico Loughran-McDonald e o modelo neural FinBERT em nível de sentença), o que permite separar "achado real" de "artefato do medidor de tom".</w:t>
      </w:r>
    </w:p>
    <w:p>
      <w:pPr>
        <w:pStyle w:val="Heading2"/>
      </w:pPr>
      <w:r>
        <w:t>3. Dados e modelagem</w:t>
      </w:r>
    </w:p>
    <w:p>
      <w:r>
        <w:rPr>
          <w:b/>
        </w:rPr>
        <w:t>Fluxo: dados → modelo → decisão → teste.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etapa</w:t>
            </w:r>
          </w:p>
        </w:tc>
        <w:tc>
          <w:tcPr>
            <w:tcW w:type="dxa" w:w="4536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conteúdo</w:t>
            </w:r>
          </w:p>
        </w:tc>
      </w:tr>
      <w:tr>
        <w:tc>
          <w:tcPr>
            <w:tcW w:type="dxa" w:w="4536"/>
          </w:tcPr>
          <w:p>
            <w:pPr>
              <w:spacing w:after="20"/>
              <w:jc w:val="left"/>
            </w:pPr>
            <w:r>
              <w:rPr>
                <w:sz w:val="19"/>
              </w:rPr>
              <w:t>Entrada</w:t>
            </w:r>
          </w:p>
        </w:tc>
        <w:tc>
          <w:tcPr>
            <w:tcW w:type="dxa" w:w="4536"/>
          </w:tcPr>
          <w:p>
            <w:pPr>
              <w:spacing w:after="20"/>
              <w:jc w:val="center"/>
            </w:pPr>
            <w:r>
              <w:rPr>
                <w:sz w:val="19"/>
              </w:rPr>
              <w:t>33.362 transcrições de earnings calls (S&amp;P 500, 2005–2025, 685 empresas; dataset público kurry/HuggingFace)</w:t>
            </w:r>
          </w:p>
        </w:tc>
      </w:tr>
      <w:tr>
        <w:tc>
          <w:tcPr>
            <w:tcW w:type="dxa" w:w="4536"/>
          </w:tcPr>
          <w:p>
            <w:pPr>
              <w:spacing w:after="20"/>
              <w:jc w:val="left"/>
            </w:pPr>
            <w:r>
              <w:rPr>
                <w:sz w:val="19"/>
              </w:rPr>
              <w:t>Papéis</w:t>
            </w:r>
          </w:p>
        </w:tc>
        <w:tc>
          <w:tcPr>
            <w:tcW w:type="dxa" w:w="4536"/>
          </w:tcPr>
          <w:p>
            <w:pPr>
              <w:spacing w:after="20"/>
              <w:jc w:val="center"/>
            </w:pPr>
            <w:r>
              <w:rPr>
                <w:sz w:val="19"/>
              </w:rPr>
              <w:t xml:space="preserve">cada fala é atribuída a gestor/analista/operador por classificador em dois níveis: </w:t>
            </w:r>
            <w:r>
              <w:rPr>
                <w:b/>
                <w:sz w:val="19"/>
              </w:rPr>
              <w:t>LLM via CLI</w:t>
            </w:r>
            <w:r>
              <w:rPr>
                <w:sz w:val="19"/>
              </w:rPr>
              <w:t xml:space="preserve"> (12.678 cabeçalhos) + regras determinísticas; validado com matriz de confusão (~90% de acerto contra rotulagem manual)</w:t>
            </w:r>
          </w:p>
        </w:tc>
      </w:tr>
      <w:tr>
        <w:tc>
          <w:tcPr>
            <w:tcW w:type="dxa" w:w="4536"/>
          </w:tcPr>
          <w:p>
            <w:pPr>
              <w:spacing w:after="20"/>
              <w:jc w:val="left"/>
            </w:pPr>
            <w:r>
              <w:rPr>
                <w:sz w:val="19"/>
              </w:rPr>
              <w:t>Tom</w:t>
            </w:r>
          </w:p>
        </w:tc>
        <w:tc>
          <w:tcPr>
            <w:tcW w:type="dxa" w:w="4536"/>
          </w:tcPr>
          <w:p>
            <w:pPr>
              <w:spacing w:after="20"/>
              <w:jc w:val="center"/>
            </w:pPr>
            <w:r>
              <w:rPr>
                <w:sz w:val="19"/>
              </w:rPr>
              <w:t>dois sensores: contagem de palavras positivas/negativas do dicionário Loughran-McDonald oficial; e FinBERT (finbert-tone) sentença a sentença</w:t>
            </w:r>
          </w:p>
        </w:tc>
      </w:tr>
      <w:tr>
        <w:tc>
          <w:tcPr>
            <w:tcW w:type="dxa" w:w="4536"/>
          </w:tcPr>
          <w:p>
            <w:pPr>
              <w:spacing w:after="20"/>
              <w:jc w:val="left"/>
            </w:pPr>
            <w:r>
              <w:rPr>
                <w:sz w:val="19"/>
              </w:rPr>
              <w:t>Sinal</w:t>
            </w:r>
          </w:p>
        </w:tc>
        <w:tc>
          <w:tcPr>
            <w:tcW w:type="dxa" w:w="4536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Tone Distance</w:t>
            </w:r>
            <w:r>
              <w:rPr>
                <w:sz w:val="19"/>
              </w:rPr>
              <w:t xml:space="preserve"> (Eq. 1 de Angelo): cada gestor vira um ponto (fração positiva, fração negativa); TD = distância média dos gestores ao centro da call; mínimo 2 gestores</w:t>
            </w:r>
          </w:p>
        </w:tc>
      </w:tr>
      <w:tr>
        <w:tc>
          <w:tcPr>
            <w:tcW w:type="dxa" w:w="4536"/>
          </w:tcPr>
          <w:p>
            <w:pPr>
              <w:spacing w:after="20"/>
              <w:jc w:val="left"/>
            </w:pPr>
            <w:r>
              <w:rPr>
                <w:sz w:val="19"/>
              </w:rPr>
              <w:t>Saída</w:t>
            </w:r>
          </w:p>
        </w:tc>
        <w:tc>
          <w:tcPr>
            <w:tcW w:type="dxa" w:w="4536"/>
          </w:tcPr>
          <w:p>
            <w:pPr>
              <w:spacing w:after="20"/>
              <w:jc w:val="center"/>
            </w:pPr>
            <w:r>
              <w:rPr>
                <w:sz w:val="19"/>
              </w:rPr>
              <w:t>escore por call + variantes (centroide agregado; ponderação pelo volume de fala)</w:t>
            </w:r>
          </w:p>
        </w:tc>
      </w:tr>
      <w:tr>
        <w:tc>
          <w:tcPr>
            <w:tcW w:type="dxa" w:w="4536"/>
          </w:tcPr>
          <w:p>
            <w:pPr>
              <w:spacing w:after="20"/>
              <w:jc w:val="left"/>
            </w:pPr>
            <w:r>
              <w:rPr>
                <w:sz w:val="19"/>
              </w:rPr>
              <w:t>Teste</w:t>
            </w:r>
          </w:p>
        </w:tc>
        <w:tc>
          <w:tcPr>
            <w:tcW w:type="dxa" w:w="4536"/>
          </w:tcPr>
          <w:p>
            <w:pPr>
              <w:spacing w:after="20"/>
              <w:jc w:val="center"/>
            </w:pPr>
            <w:r>
              <w:rPr>
                <w:sz w:val="19"/>
              </w:rPr>
              <w:t>painel com efeitos fixos de empresa e ano-trimestre, erros agrupados por empresa, winsorização 5/95 — a Eq. (3) do artigo — mais backtest calendar-time próprio</w:t>
            </w:r>
          </w:p>
        </w:tc>
      </w:tr>
    </w:tbl>
    <w:p>
      <w:pPr>
        <w:spacing w:after="40"/>
      </w:pPr>
    </w:p>
    <w:p>
      <w:r>
        <w:rPr>
          <w:b/>
        </w:rPr>
        <w:t>Retornos anormais (CAR)</w:t>
      </w:r>
      <w:r>
        <w:t xml:space="preserve"> calculados como no artigo, conferido no texto: CAPM estimado em janela de 100 pregões (mínimo 70) com intervalo de 50 antes do evento; janelas de evento [-1,+1], [-1,+2], [-1,+5] no dia do anúncio. </w:t>
      </w:r>
      <w:r>
        <w:rPr>
          <w:b/>
        </w:rPr>
        <w:t>Controles</w:t>
      </w:r>
      <w:r>
        <w:t xml:space="preserve"> reconstruídos de fontes primárias: fundamentos trimestrais do SEC EDGAR (XBRL, alinhados pela data de protocolo — sem </w:t>
      </w:r>
      <w:r>
        <w:rPr>
          <w:i/>
        </w:rPr>
        <w:t>look-ahead</w:t>
      </w:r>
      <w:r>
        <w:t>), indústria Fama-French 49 via código SIC de cada CIK, surpresa de lucro (proxy yfinance), taxa livre de risco de Ken French.</w:t>
      </w:r>
    </w:p>
    <w:p>
      <w:r>
        <w:rPr>
          <w:b/>
        </w:rPr>
        <w:t>Replicabilidade</w:t>
      </w:r>
      <w:r>
        <w:t xml:space="preserve"> (critério explícito do desafio): repositório público com código, documentação e </w:t>
      </w:r>
      <w:r>
        <w:rPr>
          <w:b/>
        </w:rPr>
        <w:t>dados derivados versionados</w:t>
      </w:r>
      <w:r>
        <w:t>; qualquer avaliador reproduz as regressões com 4 comandos, sem reprocessamento. Testado por nós em clone limpo: números idênticos.</w:t>
      </w:r>
    </w:p>
    <w:p>
      <w:r>
        <w:rPr>
          <w:b/>
        </w:rPr>
        <w:t>Um achado de modelagem que virou contribuição.</w:t>
      </w:r>
      <w:r>
        <w:t xml:space="preserve"> A fórmula do centro da call no artigo admite duas leituras: (A) média simples das frações dos gestores; (B) fração agregada (o "tom do transcript"). Implementamos as duas. Na leitura A, um orador marginal desloca o centro — caso real: na call da Apple de 2020, o profissional de relações com investidores falou 283 palavras, das quais 6 "negativas" pelo dicionário eram o aviso legal padrão (</w:t>
      </w:r>
      <w:r>
        <w:rPr>
          <w:i/>
        </w:rPr>
        <w:t>risks, uncertainties</w:t>
      </w:r>
      <w:r>
        <w:t>), e esse ponto respondia por um terço do peso do sinal. A leitura B (e, além dela, a ponderação pelo volume de fala, que o próprio artigo propõe na Tabela 8) elimina essa contaminação. Verificamos a implementação com reimplementação independente nas 32.387 calls (diferença máxima 8×10⁻¹⁷) e exemplo auditável à mão.</w:t>
      </w:r>
    </w:p>
    <w:p>
      <w:pPr>
        <w:pStyle w:val="Heading2"/>
      </w:pPr>
      <w:r>
        <w:t>4. Resultados</w:t>
      </w:r>
    </w:p>
    <w:p>
      <w:r>
        <w:rPr>
          <w:b/>
        </w:rPr>
        <w:t>Validação da construção.</w:t>
      </w:r>
      <w:r>
        <w:t xml:space="preserve"> Nossa TD tem distribuição quase idêntica à do artigo (média/mediana/desvio 0,0086/0,0080/0,0047 vs 0,0079/0,0074/0,0048), e os controles reconstruídos batem com a Tabela 1 dele (alavancagem 0,24 vs 0,235; ETR mediana 0,22 vs 0,21; suavização 1,6 vs 1,4).</w:t>
      </w:r>
    </w:p>
    <w:p>
      <w:r>
        <w:rPr>
          <w:b/>
        </w:rPr>
        <w:t>H1 — o resultado central, em dois sensores.</w:t>
      </w:r>
      <w:r>
        <w:t xml:space="preserve"> Efeito da TD sobre o CAR do anúncio (painel com efeitos fixos; estatística t; amostra 2009+, ~23 mil eventos, ~540 empresas):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construção do sinal</w:t>
            </w:r>
          </w:p>
        </w:tc>
        <w:tc>
          <w:tcPr>
            <w:tcW w:type="dxa" w:w="302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LM (dicionário)</w:t>
            </w:r>
          </w:p>
        </w:tc>
        <w:tc>
          <w:tcPr>
            <w:tcW w:type="dxa" w:w="302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FinBERT (neural)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média simples (leitura A)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−0,7 / −0,6 / −0,3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+0,1 / −0,2 / −0,5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tom agregado (leitura B)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−2,0 / −2,1 / −1,7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−1,9 / −2,3 / −2,3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ponderada pelo volume de fala (Tabela 8 do artigo)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−2,9 / −2,7 / −2,3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−2,4 / −2,4 / −2,5</w:t>
            </w:r>
          </w:p>
        </w:tc>
      </w:tr>
    </w:tbl>
    <w:p>
      <w:pPr>
        <w:spacing w:after="40"/>
      </w:pPr>
    </w:p>
    <w:p>
      <w:r>
        <w:t xml:space="preserve">(t nas janelas [-1,+1] / [-1,+2] / [-1,+5]; efeito econômico: uma variação interquartil de TD ≈ </w:t>
      </w:r>
      <w:r>
        <w:rPr>
          <w:b/>
        </w:rPr>
        <w:t>−0,11% a −0,16%</w:t>
      </w:r>
      <w:r>
        <w:t xml:space="preserve"> de CAR, contra −0,21% no artigo.)</w:t>
      </w:r>
    </w:p>
    <w:p>
      <w:r>
        <w:t xml:space="preserve">Três leituras desta tabela: (i) a hipótese H1 do artigo </w:t>
      </w:r>
      <w:r>
        <w:rPr>
          <w:b/>
        </w:rPr>
        <w:t>replica</w:t>
      </w:r>
      <w:r>
        <w:t xml:space="preserve"> no S&amp;P 500 quando o sinal respeita o volume de fala de cada gestor; (ii) a progressão é monotônica — quanto mais peso ao ruído dos oradores marginais, mais fraco o sinal — o que diagnostica com precisão por que a versão igual-ponderada falha em large caps; (iii) os dois sensores, que concordam entre si em apenas 38% (correlação), produzem o mesmo quadro — o achado não é artefato do medidor de tom.</w:t>
      </w:r>
    </w:p>
    <w:p>
      <w:r>
        <w:rPr>
          <w:b/>
        </w:rPr>
        <w:t>H2 — risco: associação em amostra cheia que NÃO sobrevive à validação temporal.</w:t>
      </w:r>
      <w:r>
        <w:t xml:space="preserve"> Na amostra completa, a TD ponderada associa-se a volatilidade futura (t = +2,5 no sensor LM; nada no FinBERT). Mas o teste walk-forward (estimar só com o passado em cada corte anual e conferir no futuro não visto) reprova o canal na nossa especificação; a investigação (auditoria da variável com recomputação independente — idêntica a 6 casas decimais — e decomposição de janelas) localizou a origem da divergência com o artigo: </w:t>
      </w:r>
      <w:r>
        <w:rPr>
          <w:b/>
        </w:rPr>
        <w:t>a janela</w:t>
      </w:r>
      <w:r>
        <w:t xml:space="preserve">. O artigo mede a vol a partir do dia +1 (ainda dentro da ressaca do anúncio); nós, do +2 (fora dela). Com a janela do artigo, a H2 replica em amostra cheia (t=+2,1); com a janela limpa, não existe (t=+1,3); e a diferença é o </w:t>
      </w:r>
      <w:r>
        <w:rPr>
          <w:b/>
        </w:rPr>
        <w:t>eco mecânico do próprio anúncio</w:t>
      </w:r>
      <w:r>
        <w:t xml:space="preserve"> — empresas de TD alta têm reação maior (a H1), e janelas que encostam no evento herdam essa turbulência. Prospectivamente, nem a janela do artigo sustenta (walk-forward: futuro na direção esperada em 28/48 momentos; previsão condicional t=+1,0) — e a versão limpa falha por completo (0/48 no horizonte longo). </w:t>
      </w:r>
      <w:r>
        <w:rPr>
          <w:b/>
        </w:rPr>
        <w:t>Caracterização final: a H2 se confirma como descrição e reprova como sinal.</w:t>
      </w:r>
      <w:r>
        <w:t xml:space="preserve"> Empresas de TD alta são, de fato, mais voláteis — na carteira executada do §5, o top-10 escolhido sempre </w:t>
      </w:r>
      <w:r>
        <w:rPr>
          <w:i/>
        </w:rPr>
        <w:t>antes</w:t>
      </w:r>
      <w:r>
        <w:t xml:space="preserve"> do mês realiza vol de 20,6% contra 17,4% do bottom-10 —, mas essa é uma informação que a própria volatilidade passada já entrega de graça: exigida a prever algo </w:t>
      </w:r>
      <w:r>
        <w:rPr>
          <w:i/>
        </w:rPr>
        <w:t>além</w:t>
      </w:r>
      <w:r>
        <w:t xml:space="preserve"> dela e dos controles, a TD fica muda em todas as 16 células pré-especificadas que testamos. E até a versão descritiva está em extinção: o gap de vol entre top-10 e bottom-10 cai de 6,1 p.p. (2009–14) para 1,2 p.p. (2015–25) — a mesma data de morte que o walk-forward condicional havia apontado, agora confirmada por um método totalmente independente. O "canal de risco" é sobretudo o prolongamento da reação ao anúncio, já contado na H1; não o usamos como sinal — mas ele sobrevive como </w:t>
      </w:r>
      <w:r>
        <w:rPr>
          <w:b/>
        </w:rPr>
        <w:t>explicação econômica do prêmio</w:t>
      </w:r>
      <w:r>
        <w:t xml:space="preserve"> da carteira: quem carrega as empresas de TD alta ganha mais correndo mais risco (§5), compensação, não almoço grátis.</w:t>
      </w:r>
    </w:p>
    <w:p>
      <w:r>
        <w:rPr>
          <w:b/>
        </w:rPr>
        <w:t>H3 — operacional.</w:t>
      </w:r>
      <w:r>
        <w:t xml:space="preserve"> O valor absoluto da surpresa de lucro seguinte aumenta com a TD (t = +2,2 na amostra ampla), com a mesma concentração de regime.</w:t>
      </w:r>
    </w:p>
    <w:p>
      <w:r>
        <w:rPr>
          <w:b/>
        </w:rPr>
        <w:t>Retornos subsequentes (Tabela 6 do artigo).</w:t>
      </w:r>
      <w:r>
        <w:t xml:space="preserve"> Painel mensal (retorno dos 3 meses após a call; efeitos fixos de empresa e mês; controles de valor, momentum, tamanho e reversão): coeficiente positivo nos dois sensores (t = +2,1 LM; +1,8 FinBERT; artigo: +2,2) — consistente com o mecanismo do artigo: o mercado penaliza no anúncio e exige retorno maior depois. Validação walk-forward desta camada (cortes anuais 2014–2022): β futuro </w:t>
      </w:r>
      <w:r>
        <w:rPr>
          <w:b/>
        </w:rPr>
        <w:t>positivo em 9 de 9 cortes</w:t>
      </w:r>
      <w:r>
        <w:t xml:space="preserve"> para a versão ponderada, com significância nos futuros longos (t até +2,5) — e duas ressalvas declaradas: o lado passado só ganha significância a partir de 2019, e os futuros dos cortes recentes são curtos (t&lt;1). Leitura: prêmio direcionalmente estável em todos os momentos, força moderada.</w:t>
      </w:r>
    </w:p>
    <w:p>
      <w:r>
        <w:rPr>
          <w:b/>
        </w:rPr>
        <w:t>Validação temporal (matriz completa: 3 tipos de teste × 3 hipóteses, todos os resultados reportados, inclusive os contrários).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teste</w:t>
            </w:r>
          </w:p>
        </w:tc>
        <w:tc>
          <w:tcPr>
            <w:tcW w:type="dxa" w:w="2268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H1 (CAR)</w:t>
            </w:r>
          </w:p>
        </w:tc>
        <w:tc>
          <w:tcPr>
            <w:tcW w:type="dxa" w:w="2268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H2 (vol)</w:t>
            </w:r>
          </w:p>
        </w:tc>
        <w:tc>
          <w:tcPr>
            <w:tcW w:type="dxa" w:w="2268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H3 (|SUE|)</w:t>
            </w:r>
          </w:p>
        </w:tc>
      </w:tr>
      <w:tr>
        <w:tc>
          <w:tcPr>
            <w:tcW w:type="dxa" w:w="2268"/>
          </w:tcPr>
          <w:p>
            <w:pPr>
              <w:spacing w:after="20"/>
              <w:jc w:val="left"/>
            </w:pPr>
            <w:r>
              <w:rPr>
                <w:sz w:val="19"/>
              </w:rPr>
              <w:t>1. carteira / realização calendar-time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>quintis L-S nulos (melhor Sharpe 0,22, t=0,99)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>vol da cesta alta − baixa: +0,4 a +2pp sobre ~33% (sem valor prático); FinBERT invertida (−11pp)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>cesta trimestral = teste 3</w:t>
            </w:r>
          </w:p>
        </w:tc>
      </w:tr>
      <w:tr>
        <w:tc>
          <w:tcPr>
            <w:tcW w:type="dxa" w:w="2268"/>
          </w:tcPr>
          <w:p>
            <w:pPr>
              <w:spacing w:after="20"/>
              <w:jc w:val="left"/>
            </w:pPr>
            <w:r>
              <w:rPr>
                <w:sz w:val="19"/>
              </w:rPr>
              <w:t>2a. walk-forward anual do β condicional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>10/12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3/12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>9/12</w:t>
            </w:r>
          </w:p>
        </w:tc>
      </w:tr>
      <w:tr>
        <w:tc>
          <w:tcPr>
            <w:tcW w:type="dxa" w:w="2268"/>
          </w:tcPr>
          <w:p>
            <w:pPr>
              <w:spacing w:after="20"/>
              <w:jc w:val="left"/>
            </w:pPr>
            <w:r>
              <w:rPr>
                <w:sz w:val="19"/>
              </w:rPr>
              <w:t>2b. walk-forward TRIMESTRAL (48 momentos) — passado / futuro na direção da hipótese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 xml:space="preserve">48/48 · </w:t>
            </w:r>
            <w:r>
              <w:rPr>
                <w:b/>
                <w:sz w:val="19"/>
              </w:rPr>
              <w:t>40/48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 xml:space="preserve">48/48 · </w:t>
            </w:r>
            <w:r>
              <w:rPr>
                <w:b/>
                <w:sz w:val="19"/>
              </w:rPr>
              <w:t>15/48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>48/48 · 32/48</w:t>
            </w:r>
          </w:p>
        </w:tc>
      </w:tr>
      <w:tr>
        <w:tc>
          <w:tcPr>
            <w:tcW w:type="dxa" w:w="2268"/>
          </w:tcPr>
          <w:p>
            <w:pPr>
              <w:spacing w:after="20"/>
              <w:jc w:val="left"/>
            </w:pPr>
            <w:r>
              <w:rPr>
                <w:sz w:val="19"/>
              </w:rPr>
              <w:t>3. previsão por evento sem controles (50 trimestres à parte)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>42% de acerto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>58%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>35%</w:t>
            </w:r>
          </w:p>
        </w:tc>
      </w:tr>
      <w:tr>
        <w:tc>
          <w:tcPr>
            <w:tcW w:type="dxa" w:w="2268"/>
          </w:tcPr>
          <w:p>
            <w:pPr>
              <w:spacing w:after="20"/>
              <w:jc w:val="left"/>
            </w:pPr>
            <w:r>
              <w:rPr>
                <w:sz w:val="19"/>
              </w:rPr>
              <w:t xml:space="preserve">4. previsão por evento </w:t>
            </w:r>
            <w:r>
              <w:rPr>
                <w:b/>
                <w:sz w:val="19"/>
              </w:rPr>
              <w:t>condicional</w:t>
            </w:r>
            <w:r>
              <w:rPr>
                <w:sz w:val="19"/>
              </w:rPr>
              <w:t xml:space="preserve"> (resíduo do modelo treinado no passado; o teste que casa com a hipótese)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62% · spread −0,14% · t=−2,12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sz w:val="19"/>
              </w:rPr>
              <w:t>52% · t=+0,27</w:t>
            </w:r>
          </w:p>
        </w:tc>
        <w:tc>
          <w:tcPr>
            <w:tcW w:type="dxa" w:w="2268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71% · spread +0,74% · t=+3,58</w:t>
            </w:r>
          </w:p>
        </w:tc>
      </w:tr>
    </w:tbl>
    <w:p>
      <w:pPr>
        <w:spacing w:after="40"/>
      </w:pPr>
    </w:p>
    <w:p>
      <w:r>
        <w:t xml:space="preserve">Duas lições estruturam a leitura. </w:t>
      </w:r>
      <w:r>
        <w:rPr>
          <w:b/>
        </w:rPr>
        <w:t>Primeira (linha 2b):</w:t>
      </w:r>
      <w:r>
        <w:t xml:space="preserve"> nas três hipóteses, o β estimado com o passado aponta a direção "esperada" em 48 de 48 momentos — em amostra corrente, as três pareceriam confirmadas. Só o futuro as separa: H2 é contrariada em 69% dos momentos (canal extinto após ~2014) e é descartada; H1 e H3 sobrevivem. </w:t>
      </w:r>
      <w:r>
        <w:rPr>
          <w:b/>
        </w:rPr>
        <w:t>Segunda (linhas 3 vs 4): o teste precisa casar com a afirmação.</w:t>
      </w:r>
      <w:r>
        <w:t xml:space="preserve"> A versão incondicional (ordenar empresas cruamente por TD) não prevê nada, porque mistura o sinal com características de firma; quando a previsão usa o modelo condicional treinado só no passado (resíduos), a H1 valida por evento fora da amostra (t=−2,12; spread negativo em todos os anos desde 2019) e a H3 entrega o resultado prospectivo mais forte do projeto (t=+3,58; 71% dos trimestres): divergência de tom hoje prevê imprevisibilidade do lucro do trimestre seguinte. Registro de método: a linha 4 não estava no desenho original — nasceu da revisão interna; o que a defende é ser o teste teoricamente correto da afirmação condicional, e o fato de reprovar a H2 junto (um teste complacente não reprovaria). (Nota: cortes adjacentes compartilham dados; as contagens medem estabilidade, não testes independentes.)</w:t>
      </w:r>
    </w:p>
    <w:p>
      <w:pPr>
        <w:pStyle w:val="Heading2"/>
      </w:pPr>
      <w:r>
        <w:t>5. Backtest e estratégia</w:t>
      </w:r>
    </w:p>
    <w:p>
      <w:pPr>
        <w:pStyle w:val="Heading3"/>
      </w:pPr>
      <w:r>
        <w:t>5.1 A tese executada: carteira das 10 maiores TD, mês a mês</w:t>
      </w:r>
    </w:p>
    <w:p>
      <w:r>
        <w:t xml:space="preserve">O teste mais concreto que uma tese de investimento admite: </w:t>
      </w:r>
      <w:r>
        <w:rPr>
          <w:b/>
        </w:rPr>
        <w:t>comprá-la</w:t>
      </w:r>
      <w:r>
        <w:t xml:space="preserve">. No fechamento de cada mês, a carteira compra em pesos iguais as </w:t>
      </w:r>
      <w:r>
        <w:rPr>
          <w:b/>
        </w:rPr>
        <w:t>10 empresas de maior Tone Distance</w:t>
      </w:r>
      <w:r>
        <w:t xml:space="preserve"> (call mais recente dos 3 meses anteriores), segura o mês seguinte e rebalanceia. A seleção usa apenas informação disponível na data (auditado mês a mês pelo próprio script: nenhuma call usada é posterior ao início do mês investido); custos de 10 pontos-base por lado sobre o turnover realizado (34%/mês). 199 meses, de fev/2009 a ago/2025: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F2E5D9"/>
          </w:tcPr>
          <w:p>
            <w:pPr>
              <w:spacing w:after="20"/>
              <w:jc w:val="left"/>
            </w:pP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bruto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líquido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Bottom-10 TD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Universo elegível EW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S&amp;P 500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acumulado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+2.061%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+1.783%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+959%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+1.208%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+682%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ao ano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+20,4%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+19,4%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+15,3%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+16,8%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+13,2%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Volatilidade a.a.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17,4%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17,3%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14,9%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Sharpe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1,01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0,96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0,99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Drawdown máximo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−25%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ano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bottom-10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universo EW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S&amp;P 500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2009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+44,6%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+61,3%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+35,0%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2010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+10,1%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+12,8%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2011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+8,6%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+0,5%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−0,0%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2012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+39,3%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+24,6%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+20,2%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+13,4%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2013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+30,5%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+37,8%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+29,6%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2014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+10,3%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2015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+5,9%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−0,7%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2016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+17,6%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+9,5%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2017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+18,2%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+12,8%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+21,6%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2018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−14,5%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−7,2%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−6,2%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2019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+44,5%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+27,1%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+31,5%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+28,9%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2020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+2,7%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+16,3%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2021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+20,0%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+31,3%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+26,9%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2022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−14,1%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−19,4%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2023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+37,6%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+14,7%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+17,8%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+24,2%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2024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+18,9%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+23,3%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2025*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+16,2%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+7,5%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+9,8%</w:t>
            </w:r>
          </w:p>
        </w:tc>
      </w:tr>
    </w:tbl>
    <w:p>
      <w:pPr>
        <w:spacing w:after="40"/>
      </w:pPr>
    </w:p>
    <w:p>
      <w:r>
        <w:rPr>
          <w:i/>
        </w:rPr>
        <w:t>(2025 até agosto. Composições conferíveis à mão: p.ex. ago/2025 = HII, MCD, CAH, ES, MCK, MTCH, CSCO, ANET, PODD, ABNB.)</w:t>
      </w:r>
    </w:p>
    <w:p>
      <w:r>
        <w:rPr>
          <w:b/>
        </w:rPr>
        <w:t>Como ler estes números com honestidade</w:t>
      </w:r>
      <w:r>
        <w:t xml:space="preserve"> — é aqui que o trabalho se separa de um backtest de folheto. O excesso sobre o S&amp;P 500 é </w:t>
      </w:r>
      <w:r>
        <w:rPr>
          <w:b/>
        </w:rPr>
        <w:t>+7,1% a.a. (t=2,60)</w:t>
      </w:r>
      <w:r>
        <w:t xml:space="preserve">, com vitória em 58% dos meses e em 13 dos 17 anos. Mas a régua justa para uma carteira equal-weight não é um índice ponderado por valor, e sim o universo elegível equal-weight: contra ele, a seleção por TD adiciona </w:t>
      </w:r>
      <w:r>
        <w:rPr>
          <w:b/>
        </w:rPr>
        <w:t>+3,6% a.a. (t=1,59)</w:t>
      </w:r>
      <w:r>
        <w:t xml:space="preserve"> — positivo em todos os subperíodos testados (2010+: +1,8%; 2015+: +1,9%; 2019+: +2,6% a.a.), porém nunca significativo. Ou seja: cerca de metade do excesso sobre o índice vem do equal-weight em si, e o tilt próprio da TD, embora consistente, dilui-se no ruído de uma carteira de só 10 nomes — exatamente o que o efeito pequeno do painel (§4) prevê. O Sharpe praticamente igual ao do universo (1,01 vs 0,99) diz o resto: o retorno extra vem acompanhado de risco extra — compensação por carregar as empresas mais tensas, a leitura econômica do próprio artigo, não almoço grátis. A variante ponderada por palavras, melhor no painel, empata com o universo na cauda extrema de 10 nomes (com 10 ativos, o ranking simples captura melhor a ponta da distribuição). Séries mensais e composições em </w:t>
      </w:r>
      <w:r>
        <w:rPr>
          <w:rFonts w:ascii="Consolas" w:hAnsi="Consolas"/>
          <w:sz w:val="19"/>
        </w:rPr>
        <w:t>data/interim/sp500/port10_*.csv</w:t>
      </w:r>
      <w:r>
        <w:t xml:space="preserve">; replicável por </w:t>
      </w:r>
      <w:r>
        <w:rPr>
          <w:rFonts w:ascii="Consolas" w:hAnsi="Consolas"/>
          <w:sz w:val="19"/>
        </w:rPr>
        <w:t>scripts/sp500_port10.py</w:t>
      </w:r>
      <w:r>
        <w:t>.</w:t>
      </w:r>
    </w:p>
    <w:p>
      <w:pPr>
        <w:pStyle w:val="Heading3"/>
      </w:pPr>
      <w:r>
        <w:t>5.2 Quintis long-short calendar-time (especificação congelada)</w:t>
      </w:r>
    </w:p>
    <w:p>
      <w:r>
        <w:rPr>
          <w:b/>
        </w:rPr>
        <w:t>Especificação congelada antes de rodar</w:t>
      </w:r>
      <w:r>
        <w:t xml:space="preserve"> (contra viés de escolha): carteira calendar-time com tranches sobrepostas; entrada no fechamento do pregão seguinte à call (T+1); manutenção de 63 pregões; ranking point-in-time do sinal contra os 90 dias anteriores; quintis extremos (long TD alta / short TD baixa — direção fixada a priori pelo artigo); custos de 5 pontos-base por perna; amostra completa 2006–2025 sem seleção de período; benchmark S&amp;P 500.</w:t>
      </w:r>
    </w:p>
    <w:p>
      <w:r>
        <w:rPr>
          <w:b/>
        </w:rPr>
        <w:t>Resultados líquidos</w:t>
      </w:r>
      <w:r>
        <w:t xml:space="preserve"> (long-short anualizado, todas as construções do sinal sob a mesma especificação; 6 tentativas contadas para o Deflated Sharpe): leitura A +2,0% a.a. (Sharpe 0,18); </w:t>
      </w:r>
      <w:r>
        <w:rPr>
          <w:b/>
        </w:rPr>
        <w:t>leitura B +2,4% (Sharpe 0,22, o melhor — e ainda assim t(Sharpe)=0,99, não significativo)</w:t>
      </w:r>
      <w:r>
        <w:t>; ponderada +0,3% (0,05); FinBERT ponderada +4,4% (0,17) — com a ressalva de que o diagnóstico de pernas mostra correlação de só 0,6 entre long e short: o quintil alto de FinBERT embute aposta em ações de baixa volatilidade, um fator, não tom; histórico próprio +0,6% (0,07). Mercado no período: Sharpe 0,53. Nenhuma construção monetiza em quintis long-short.</w:t>
      </w:r>
    </w:p>
    <w:p>
      <w:pPr>
        <w:pStyle w:val="Heading3"/>
      </w:pPr>
      <w:r>
        <w:t>5.3 O que a estratégia pode (e não pode) prometer</w:t>
      </w:r>
    </w:p>
    <w:p>
      <w:r>
        <w:t xml:space="preserve">A bateria completa de implementação — carteira executada (5.1), quintis long-short (5.2), previsão por evento em todos os momentos, out-of-sample 2023–25 — converge num veredito único: </w:t>
      </w:r>
      <w:r>
        <w:rPr>
          <w:b/>
        </w:rPr>
        <w:t>ordenar ações por TD gera um tilt comprado direcional e consistente, mas não alpha estatisticamente demonstrável contra a régua justa em large caps.</w:t>
      </w:r>
      <w:r>
        <w:t xml:space="preserve"> O prêmio identificado no painel é condicional (dentro da empresa, com controles), pequeno (~15 bps por variação interquartil) e, no corte cruzado, disputa espaço com características de firma (diagnóstico explícito: o quintil alto do sinal FinBERT embute aposta em baixa volatilidade — correlação entre pernas de só 0,6).</w:t>
      </w:r>
    </w:p>
    <w:p>
      <w:r>
        <w:t xml:space="preserve">O CORO é portanto apresentado pelo que a evidência sustenta: um </w:t>
      </w:r>
      <w:r>
        <w:rPr>
          <w:b/>
        </w:rPr>
        <w:t>motor de análise de eventos</w:t>
      </w:r>
      <w:r>
        <w:t xml:space="preserve"> cujo escore, minutos após cada call, carrega dois conteúdos validados prospectivamente por evento (teste condicional, linha 4 da matriz): (i) </w:t>
      </w:r>
      <w:r>
        <w:rPr>
          <w:b/>
        </w:rPr>
        <w:t>precificação no anúncio</w:t>
      </w:r>
      <w:r>
        <w:t xml:space="preserve"> — resíduo de CAR menor para divergência alta (t=−2,12; negativo todos os anos desde 2019); (ii) </w:t>
      </w:r>
      <w:r>
        <w:rPr>
          <w:b/>
        </w:rPr>
        <w:t>incerteza do próximo lucro</w:t>
      </w:r>
      <w:r>
        <w:t xml:space="preserve"> — previsão da magnitude da surpresa do trimestre seguinte (t=+3,58, o resultado prospectivo mais forte do projeto). As aplicações coerentes com isso: condicionamento de exposição a eventos, posicionamento de volatilidade em torno do PRÓXIMO anúncio das empresas de divergência alta, e insumo num arcabouço multifator — não long-short isolado por ordenação crua (reprovado e explicado). A camada de retorno mensal também passou pela validação temporal (β futuro positivo em 9/9 cortes, força moderada — §4), sustentando a perna de tilt como direcional. A engenharia dessas aplicações é o trabalho da entrega final. Não há testes pendentes: toda afirmação deste relatório tem a sua validação executada e reportada.</w:t>
      </w:r>
    </w:p>
    <w:p>
      <w:r>
        <w:rPr>
          <w:b/>
        </w:rPr>
        <w:t>Vieses tratados:</w:t>
      </w:r>
      <w:r>
        <w:t xml:space="preserve"> sem escolha oportunista de período (2005–2025 tudo); execução T+1 com carimbo de hora da call (27% das calls pós-fechamento deslocadas para o pregão seguinte — teste feito, resultado robusto); sobrevivência: universo inclui 685 empresas históricas do índice, com a limitação declarada de que ~77 deslistadas ficam sem preços na fonte gratuita; custos incluídos; direção e janelas pré-fixadas pelo artigo (sem mineração de especificação).</w:t>
      </w:r>
    </w:p>
    <w:p>
      <w:pPr>
        <w:pStyle w:val="Heading2"/>
      </w:pPr>
      <w:r>
        <w:t>6. Análise crítica e fragilidades (declaradas)</w:t>
      </w:r>
    </w:p>
    <w:p>
      <w:pPr>
        <w:ind w:left="425" w:hanging="255"/>
        <w:jc w:val="both"/>
      </w:pPr>
      <w:r>
        <w:t xml:space="preserve">1. </w:t>
      </w:r>
      <w:r>
        <w:rPr>
          <w:b/>
        </w:rPr>
        <w:t>Papéis de orador reconstruídos</w:t>
      </w:r>
      <w:r>
        <w:t xml:space="preserve"> (~90% de acerto validado). O dado curado (Capital IQ) do artigo não tem esse ruído; parte da diferença entre nossos t e os do artigo pode vir daí.</w:t>
      </w:r>
    </w:p>
    <w:p>
      <w:pPr>
        <w:ind w:left="425" w:hanging="255"/>
        <w:jc w:val="both"/>
      </w:pPr>
      <w:r>
        <w:t xml:space="preserve">2. </w:t>
      </w:r>
      <w:r>
        <w:rPr>
          <w:b/>
        </w:rPr>
        <w:t>Proxies</w:t>
      </w:r>
      <w:r>
        <w:t xml:space="preserve">: surpresa de lucro via yfinance (não I/B/E/S); sem </w:t>
      </w:r>
      <w:r>
        <w:rPr>
          <w:i/>
        </w:rPr>
        <w:t>institutional ownership</w:t>
      </w:r>
      <w:r>
        <w:t xml:space="preserve"> (13F) e qualidade de accruals entre os controles — os demais 17 controles do artigo foram reconstruídos.</w:t>
      </w:r>
    </w:p>
    <w:p>
      <w:pPr>
        <w:ind w:left="425" w:hanging="255"/>
        <w:jc w:val="both"/>
      </w:pPr>
      <w:r>
        <w:t xml:space="preserve">3. </w:t>
      </w:r>
      <w:r>
        <w:rPr>
          <w:b/>
        </w:rPr>
        <w:t>Sobrevivência parcial</w:t>
      </w:r>
      <w:r>
        <w:t>: ~3,4 mil eventos sem CAR por falta de preços de deslistadas em fonte gratuita.</w:t>
      </w:r>
    </w:p>
    <w:p>
      <w:pPr>
        <w:ind w:left="425" w:hanging="255"/>
        <w:jc w:val="both"/>
      </w:pPr>
      <w:r>
        <w:t xml:space="preserve">4. </w:t>
      </w:r>
      <w:r>
        <w:rPr>
          <w:b/>
        </w:rPr>
        <w:t>Efeito pequeno</w:t>
      </w:r>
      <w:r>
        <w:t>: −0,15% por variação interquartil não paga custos como estratégia isolada de anúncio em large caps.</w:t>
      </w:r>
    </w:p>
    <w:p>
      <w:pPr>
        <w:ind w:left="425" w:hanging="255"/>
        <w:jc w:val="both"/>
      </w:pPr>
      <w:r>
        <w:t xml:space="preserve">5. </w:t>
      </w:r>
      <w:r>
        <w:rPr>
          <w:b/>
        </w:rPr>
        <w:t>Regime e validação temporal</w:t>
      </w:r>
      <w:r>
        <w:t>: o canal de risco (H2) reprova como sinal incremental (extinto após ~2014, confirmado por dois métodos independentes — §4 e §5.1). H1 e H3 atravessam a validação temporal, mas cada um com sua ressalva: H1 só na forma condicional (não como ordenação crua) e H3, embora o resultado prospectivo mais forte no teste condicional (t=+3,58), tem acerto direcional apenas moderado no corte trimestral (32/48). O prêmio de retorno mensal só ganha significância no passado a partir de 2019.</w:t>
      </w:r>
    </w:p>
    <w:p>
      <w:pPr>
        <w:ind w:left="425" w:hanging="255"/>
        <w:jc w:val="both"/>
      </w:pPr>
      <w:r>
        <w:t xml:space="preserve">6. </w:t>
      </w:r>
      <w:r>
        <w:rPr>
          <w:b/>
        </w:rPr>
        <w:t>Ambiguidade do artigo</w:t>
      </w:r>
      <w:r>
        <w:t>: a definição do centroide tem duas leituras; reportamos as duas (a igual-ponderada é nula; a agregada replica). Não escolhemos a leitura pelos resultados: a evidência textual do artigo (rótulo "Average Transcript Tone" da Figura 1) aponta para a agregada.</w:t>
      </w:r>
    </w:p>
    <w:p>
      <w:pPr>
        <w:pStyle w:val="Heading2"/>
      </w:pPr>
      <w:r>
        <w:t>7. Conclusão e próximos passos</w:t>
      </w:r>
    </w:p>
    <w:p>
      <w:r>
        <w:rPr>
          <w:b/>
        </w:rPr>
        <w:t>O que o pré-relatório estabelece:</w:t>
      </w:r>
      <w:r>
        <w:t xml:space="preserve"> a divergência de tom entre gestores é informação precificada — replicamos o resultado central de Angelo (2025) em universo independente, com dados públicos, e mostramos que ele sobrevive à troca completa do medidor de tom (léxico → neural). A contribuição própria é dupla: o diagnóstico de </w:t>
      </w:r>
      <w:r>
        <w:rPr>
          <w:i/>
        </w:rPr>
        <w:t>como</w:t>
      </w:r>
      <w:r>
        <w:t xml:space="preserve"> medir (o peso de fala separa sinal de ruído em calls com muitos participantes) e a infraestrutura 100% replicável.</w:t>
      </w:r>
    </w:p>
    <w:p>
      <w:r>
        <w:rPr>
          <w:b/>
        </w:rPr>
        <w:t>A tese de investimento, em um parágrafo:</w:t>
      </w:r>
    </w:p>
    <w:p>
      <w:pPr>
        <w:ind w:left="454" w:right="283"/>
      </w:pPr>
      <w:r>
        <w:rPr>
          <w:color w:val="1A1A1A"/>
        </w:rPr>
        <w:t xml:space="preserve">A divergência de tom entre os gestores na earnings call é informação precificada em dois tempos. No anúncio, o mercado penaliza a empresa cuja diretoria desafina (CAR condicional negativo, validado ano a ano desde 2019). Nos meses seguintes, carregar as empresas de maior divergência captura um prêmio de compensação: a carteira executada das 10 maiores TD rendeu +20,4% a.a. contra +13,2% do S&amp;P 500 em 16 anos e meio — retorno extra pago por risco extra, coerente com a leitura econômica do artigo. E o mesmo sinal prevê a magnitude da surpresa do </w:t>
      </w:r>
      <w:r>
        <w:rPr>
          <w:b/>
          <w:color w:val="1A1A1A"/>
        </w:rPr>
        <w:t>próximo</w:t>
      </w:r>
      <w:r>
        <w:rPr>
          <w:color w:val="1A1A1A"/>
        </w:rPr>
        <w:t xml:space="preserve"> lucro (t=+3,58), fazendo dele um termômetro de incerteza pré-anúncio. A promessa honesta: um tilt direcional consistente, cuja significância contra o universo equivalente pede diversificação maior que 10 nomes — um motor de eventos e de incerteza validado, não uma máquina de alpha isolada.</w:t>
      </w:r>
    </w:p>
    <w:p>
      <w:r>
        <w:rPr>
          <w:b/>
        </w:rPr>
        <w:t>Sobre a expansão small/mid caps (teste já realizado, pré-registrado):</w:t>
      </w:r>
      <w:r>
        <w:t xml:space="preserve"> testamos a tese de expansão num universo de 2.250 firmas fora do S&amp;P 500 (dataset Motley Fool, 2019–2023), com hipóteses e especificações congeladas por pré-registro ANTES de qualquer resultado (docs/PREREG_MF.md, timestamp em git). O painel não confirmou a hipótese: coeficientes positivos e não significativos, com intervalo de confiança que contém tanto o efeito do S&amp;P quanto zero (inconclusivo por potência: janela de 3,5 anos, metade em 2021, CAR 60% mais volátil, cobertura de preços de 69% com viés de sobrevivência). O diagnóstico de reconciliação isolou a causa: no MESMO período 2019–23, o efeito segue presente nas large caps (t=−1,96) — o problema é o universo ou a qualidade dos dados dele, não a época. A fronteira segue aberta e documentada; não a apresentamos como resultado.</w:t>
      </w:r>
    </w:p>
    <w:p>
      <w:r>
        <w:rPr>
          <w:b/>
        </w:rPr>
        <w:t>Próximos passos até a entrega final (17/08):</w:t>
      </w:r>
    </w:p>
    <w:p>
      <w:pPr>
        <w:ind w:left="425" w:hanging="255"/>
        <w:jc w:val="both"/>
      </w:pPr>
      <w:r>
        <w:t xml:space="preserve">1. </w:t>
      </w:r>
      <w:r>
        <w:rPr>
          <w:b/>
        </w:rPr>
        <w:t>Desenho da integração multifator</w:t>
      </w:r>
      <w:r>
        <w:t xml:space="preserve"> do escore CORO (interações com fatores e regimes), com contagem honesta de tentativas e Deflated Sharpe;</w:t>
      </w:r>
    </w:p>
    <w:p>
      <w:pPr>
        <w:ind w:left="425" w:hanging="255"/>
        <w:jc w:val="both"/>
      </w:pPr>
      <w:r>
        <w:t>2. Robustez final: sensibilidade a custos, análise de decay;</w:t>
      </w:r>
    </w:p>
    <w:p>
      <w:pPr>
        <w:ind w:left="425" w:hanging="255"/>
        <w:jc w:val="both"/>
      </w:pPr>
      <w:r>
        <w:t>3. Se houver dados melhores (preços de deslistadas), revisitar a fronteira small/mid com o pré-registro já commitado.</w:t>
      </w:r>
    </w:p>
    <w:p>
      <w:r>
        <w:rPr>
          <w:b/>
        </w:rPr>
        <w:t>A lição que organiza o trabalho.</w:t>
      </w:r>
      <w:r>
        <w:t xml:space="preserve"> Nas três hipóteses, o modelo estimado com o passado apontava a direção "esperada" em 48 de 48 momentos — em amostra cheia, as três pareceriam confirmadas, e um relatório escrito nesse ponto venderia uma miragem com convicção. Só a validação temporal separou o real (H1, H3, o prêmio mensal) do artefato (H2). Esse filtro — e a disposição de descartar um resultado bonito quando o futuro o desmente — é o principal produto deste pré-relatório, e é o que a equipe leva para a entrega final.</w:t>
      </w:r>
    </w:p>
    <w:p>
      <w:pPr>
        <w:pStyle w:val="Heading2"/>
      </w:pPr>
      <w:r>
        <w:t>8. Uso de IA Generativa no processo</w:t>
      </w:r>
    </w:p>
    <w:p>
      <w:r>
        <w:t xml:space="preserve">O uso de GenAI é </w:t>
      </w:r>
      <w:r>
        <w:rPr>
          <w:b/>
        </w:rPr>
        <w:t>operacional e auditável</w:t>
      </w:r>
      <w:r>
        <w:t>, não declaratório:</w:t>
      </w:r>
    </w:p>
    <w:p>
      <w:pPr>
        <w:ind w:left="425" w:hanging="255"/>
        <w:jc w:val="both"/>
      </w:pPr>
      <w:r>
        <w:t xml:space="preserve">1. </w:t>
      </w:r>
      <w:r>
        <w:rPr>
          <w:b/>
        </w:rPr>
        <w:t>Classificação de papéis por LLM (núcleo do pipeline).</w:t>
      </w:r>
      <w:r>
        <w:t xml:space="preserve"> Um robô por linha de comando (</w:t>
      </w:r>
      <w:r>
        <w:rPr>
          <w:rFonts w:ascii="Consolas" w:hAnsi="Consolas"/>
          <w:sz w:val="19"/>
        </w:rPr>
        <w:t>claude -p</w:t>
      </w:r>
      <w:r>
        <w:t xml:space="preserve">, modelo Haiku) classificou os 12.678 cabeçalhos de orador em lotes, com cache versionado e reprocessamento determinístico (~4,6h de execução). Validação: matriz de confusão contra 292 rótulos manuais (~90% de acerto global) e classificador determinístico independente para comparação (99% de concordância nos casos frequentes). Prompt, custos e validação documentados em </w:t>
      </w:r>
      <w:r>
        <w:rPr>
          <w:rFonts w:ascii="Consolas" w:hAnsi="Consolas"/>
          <w:sz w:val="19"/>
        </w:rPr>
        <w:t>docs/GENAI_USAGE.md</w:t>
      </w:r>
      <w:r>
        <w:t>.</w:t>
      </w:r>
    </w:p>
    <w:p>
      <w:pPr>
        <w:ind w:left="425" w:hanging="255"/>
        <w:jc w:val="both"/>
      </w:pPr>
      <w:r>
        <w:t xml:space="preserve">2. </w:t>
      </w:r>
      <w:r>
        <w:rPr>
          <w:b/>
        </w:rPr>
        <w:t>Par de engenharia e auditoria (processo inteiro).</w:t>
      </w:r>
      <w:r>
        <w:t xml:space="preserve"> Arquitetura do pipeline, código, testes, documentação e — com impacto direto no resultado — a auditoria da fórmula do centroide: a reimplementação independente e o teste das duas leituras da Eq. (1) que mudaram a conclusão central foram conduzidos em par com o assistente (Claude), com decisões econômicas e metodológicas sempre da equipe.</w:t>
      </w:r>
    </w:p>
    <w:p>
      <w:pPr>
        <w:ind w:left="425" w:hanging="255"/>
        <w:jc w:val="both"/>
      </w:pPr>
      <w:r>
        <w:t xml:space="preserve">3. </w:t>
      </w:r>
      <w:r>
        <w:rPr>
          <w:b/>
        </w:rPr>
        <w:t>O que NÃO chamamos de GenAI:</w:t>
      </w:r>
      <w:r>
        <w:t xml:space="preserve"> o FinBERT é um modelo de linguagem </w:t>
      </w:r>
      <w:r>
        <w:rPr>
          <w:i/>
        </w:rPr>
        <w:t>encoder</w:t>
      </w:r>
      <w:r>
        <w:t xml:space="preserve"> (classificação), parte do modelo quantitativo — permitido pelo edital, mas contabilizado como NLP/ML, não como IA generativa.</w:t>
      </w:r>
    </w:p>
    <w:p>
      <w:pPr>
        <w:pBdr>
          <w:bottom w:val="single" w:sz="6" w:space="1" w:color="D9D9D9"/>
        </w:pBdr>
        <w:spacing w:after="200"/>
      </w:pPr>
    </w:p>
    <w:p>
      <w:r>
        <w:rPr>
          <w:i/>
        </w:rPr>
        <w:t>Todos os números deste relatório saem de scripts versionados no repositório e foram reproduzidos em clone limpo. Nenhum número foi digitado à mão.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C451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C451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