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rPr>
          <w:b/>
        </w:rPr>
        <w:t>Pré-relatório · Desafio Quant AI 2026 (Itaú Asset)</w:t>
      </w:r>
    </w:p>
    <w:p>
      <w:pPr>
        <w:spacing w:after="40"/>
        <w:jc w:val="center"/>
      </w:pPr>
      <w:r>
        <w:t>Equipe: Marcelo e Caio · Orientação: Profa. Nadia Cardoso Moreira</w:t>
      </w:r>
    </w:p>
    <w:p>
      <w:pPr>
        <w:spacing w:after="40"/>
        <w:jc w:val="center"/>
      </w:pPr>
      <w:r>
        <w:t>Repositório com código, dados e replicação completa:</w:t>
      </w:r>
    </w:p>
    <w:p>
      <w:pPr>
        <w:spacing w:after="40"/>
        <w:jc w:val="center"/>
      </w:pPr>
      <w:r>
        <w:t>https://github.com/marceleann/Caio-e-Marcelo-e-Vinicius</w:t>
      </w:r>
    </w:p>
    <w:p>
      <w:pPr>
        <w:ind w:left="454" w:right="283"/>
      </w:pPr>
      <w:r>
        <w:rPr>
          <w:color w:val="555555"/>
        </w:rPr>
        <w:t>Nome do robô em definição pela equipe (alternativas em avaliação: DESAFINADO, DISSONA, OUVIDOR, CORO). O conceito é único: o robô não mede o tom médio da empresa, e sim o desalinhamento entre as vozes que a representam.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Resumo</w:t>
      </w:r>
    </w:p>
    <w:p>
      <w:r>
        <w:t>Este trabalho constrói e valida um sinal quantitativo extraído das teleconferências de resultados: a divergência de tom entre os executivos da mesma empresa (Tone Distance, TD). Processamos 33.362 transcrições de calls de 685 empresas do S&amp;P 500 (2005 a 2025) com um pipeline próprio que combina classificação de papéis por LLM e dois medidores independentes de tom (dicionário Loughran-McDonald e o modelo neural FinBERT). Os testes em painel confirmam a hipótese central: maior divergência de tom está associada a retorno anormal menor no anúncio (t até −2,9), a retornos maiores nos meses seguintes (t=+2,1) e a maior imprevisibilidade do lucro do trimestre seguinte (t=+3,58 na previsão fora da amostra). A estratégia derivada do sinal, uma carteira mensal com as 10 empresas de maior TD, rendeu +20,4% ao ano contra +13,2% do S&amp;P 500 em 199 meses, com excesso estatisticamente significativo (t=2,60). A hipótese de previsão de risco não sobreviveu aos testes de robustez e foi descartada, decisão que documenta o rigor do processo de validação. Todos os resultados são reproduzíveis a partir do repositório público com 4 comandos.</w:t>
      </w:r>
    </w:p>
    <w:p>
      <w:r>
        <w:rPr>
          <w:b/>
        </w:rPr>
        <w:t>Palavras-chave:</w:t>
      </w:r>
      <w:r>
        <w:t xml:space="preserve"> análise de texto; earnings calls; tom gerencial; retornos anormais; FinBERT; estratégia quantitativa.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1. Introdução</w:t>
      </w:r>
    </w:p>
    <w:p>
      <w:r>
        <w:t>Em uma teleconferência de resultados, a empresa apresenta uma mensagem coordenada, mas quem fala são pessoas: CEO, CFO e diretores respondem a perguntas ao vivo, sem controle total sobre o tom que empregam. Quando os tons desses executivos divergem entre si, a divergência pode revelar informação que a comunicação oficial não captura: desacordo interno, incerteza sobre o trimestre, narrativas que não fecham. A hipótese central deste trabalho é que essa divergência é mensurável e é precificada pelo mercado.</w:t>
      </w:r>
    </w:p>
    <w:p>
      <w:r>
        <w:rPr>
          <w:b/>
        </w:rPr>
        <w:t>Identidade do robô.</w:t>
      </w:r>
      <w:r>
        <w:t xml:space="preserve"> O robô processa a transcrição de cada teleconferência e converte o grau de desalinhamento entre os executivos em um número: a Tone Distance (TD), definida como a dispersão do tom entre os gestores que falam na mesma call. A saída é objetiva e operacional: um escore por empresa-trimestre, disponível minutos após a divulgação da transcrição, utilizável como sinal de seleção de ativos, como condicionante de exposição a eventos e como indicador antecedente de incerteza de resultados. O nome em avaliação pela equipe (DESAFINADO) resume o conceito: o robô não mede o que a empresa diz, mede o quanto as vozes dela desafinam ao dizer.</w:t>
      </w:r>
    </w:p>
    <w:p>
      <w:r>
        <w:rPr>
          <w:b/>
        </w:rPr>
        <w:t>Objetivo e hipóteses.</w:t>
      </w:r>
      <w:r>
        <w:t xml:space="preserve"> Testamos três hipóteses sobre a TD, formuladas a partir da literatura e registradas antes dos testes: (H1) maior divergência de tom implica retorno anormal menor no anúncio; (H2) maior divergência implica maior risco realizado após o anúncio; (H3) maior divergência antecipa piora ou imprevisibilidade dos resultados operacionais seguintes. Sobre as hipóteses validadas, construímos e testamos uma estratégia de investimento com custos de transação.</w:t>
      </w:r>
    </w:p>
    <w:p>
      <w:r>
        <w:rPr>
          <w:b/>
        </w:rPr>
        <w:t>Principais resultados.</w:t>
      </w:r>
      <w:r>
        <w:t xml:space="preserve"> H1 confirma-se na amostra completa, com o mesmo quadro em dois medidores de tom independentes, o que descarta artefato de instrumento. O sinal também está associado a retornos maiores nos três meses seguintes à call, e H3 produz o resultado preditivo mais forte do projeto: a divergência de hoje antecipa a magnitude da surpresa do lucro do próximo trimestre. A carteira mensal com as 10 empresas de maior TD rendeu +20,4% ao ano contra +13,2% do S&amp;P 500 em 16 anos e meio. H2 não passou nos testes de robustez e foi descartada como sinal.</w:t>
      </w:r>
    </w:p>
    <w:p>
      <w:r>
        <w:rPr>
          <w:b/>
        </w:rPr>
        <w:t>Contribuições.</w:t>
      </w:r>
      <w:r>
        <w:t xml:space="preserve"> Três: (i) metodológica, o diagnóstico de como medir a divergência de tom (a ponderação pelo volume de fala de cada gestor separa sinal de ruído, e a troca do dicionário pelo FinBERT confirma o achado); (ii) empírica, a validação independente do fenômeno em universo, dados e código próprios, com a honestidade de descartar a hipótese que não validou; (iii) de infraestrutura, um pipeline integralmente replicável com dados públicos.</w:t>
      </w:r>
    </w:p>
    <w:p>
      <w:r>
        <w:rPr>
          <w:b/>
        </w:rPr>
        <w:t>Organização.</w:t>
      </w:r>
      <w:r>
        <w:t xml:space="preserve"> A Seção 2 apresenta a fundamentação teórica e as hipóteses. A Seção 3 descreve dados e metodologia. A Seção 4 reporta os resultados econométricos e a Seção 5 os resultados do backtest. A Seção 6 discute limitações, a Seção 7 conclui e a Seção 8 documenta o uso de IA generativa no processo, critério específico do edital.</w:t>
      </w:r>
    </w:p>
    <w:p>
      <w:pPr>
        <w:pStyle w:val="Heading2"/>
      </w:pPr>
      <w:r>
        <w:t>2. Fundamentação teórica e hipóteses</w:t>
      </w:r>
    </w:p>
    <w:p>
      <w:r>
        <w:t>A literatura de análise textual em finanças mostra que o tom da comunicação corporativa contém informação relevante para preços, e que o mercado extrai mais informação justamente dos componentes que os gestores têm menos capacidade de administrar. Huang, Teoh e Zhang (2014) documentam o gerenciamento de tom em divulgações de resultados; Lee (2016) mostra que o mercado reage à falta de espontaneidade dos gestores em earnings calls; Loughran e McDonald (2011) estabelecem o dicionário de tom específico para finanças que se tornou padrão na área.</w:t>
      </w:r>
    </w:p>
    <w:p>
      <w:r>
        <w:t>Dentro dessa agenda, Angelo, Johnston, Singh e Wan (2025) propõem uma medida nova: em vez de medir o tom médio da empresa, medir a divergência de tom entre os executivos que falam na mesma call. O argumento econômico é que a mensagem oficial é ensaiada, mas a coordenação fina do tom entre vários oradores em tempo real é custosa, especialmente na sessão de perguntas e respostas. A divergência funciona, assim, como um vazamento de informação privada sobre desacordo e incerteza internos.</w:t>
      </w:r>
    </w:p>
    <w:p>
      <w:r>
        <w:t>Nosso trabalho parte dessa referência e a submete a um teste independente, com universo, dados e código integralmente próprios, e com uma extensão deliberada: a substituição completa do medidor de tom por um modelo de linguagem neural treinado para finanças (FinBERT; Yang, Uy e Huang, 2020). Se o fenômeno é real, ele deve aparecer nos dois medidores; se é artefato do dicionário, a troca de instrumento o elimina. As hipóteses testadas são:</w:t>
      </w:r>
    </w:p>
    <w:p>
      <w:pPr>
        <w:pStyle w:val="ListBullet"/>
        <w:jc w:val="both"/>
      </w:pPr>
      <w:r>
        <w:rPr>
          <w:b/>
        </w:rPr>
        <w:t>H1 (precificação):</w:t>
      </w:r>
      <w:r>
        <w:t xml:space="preserve"> maior Tone Distance está associada a retorno</w:t>
      </w:r>
    </w:p>
    <w:p>
      <w:r>
        <w:t xml:space="preserve">  anormal menor na janela do anúncio.</w:t>
      </w:r>
    </w:p>
    <w:p>
      <w:pPr>
        <w:pStyle w:val="ListBullet"/>
        <w:jc w:val="both"/>
      </w:pPr>
      <w:r>
        <w:rPr>
          <w:b/>
        </w:rPr>
        <w:t>H2 (risco):</w:t>
      </w:r>
      <w:r>
        <w:t xml:space="preserve"> maior Tone Distance está associada a maior volatilidade</w:t>
      </w:r>
    </w:p>
    <w:p>
      <w:r>
        <w:t xml:space="preserve">  realizada após o anúncio.</w:t>
      </w:r>
    </w:p>
    <w:p>
      <w:pPr>
        <w:pStyle w:val="ListBullet"/>
        <w:jc w:val="both"/>
      </w:pPr>
      <w:r>
        <w:rPr>
          <w:b/>
        </w:rPr>
        <w:t>H3 (operacional):</w:t>
      </w:r>
      <w:r>
        <w:t xml:space="preserve"> maior Tone Distance antecipa piora ou maior</w:t>
      </w:r>
    </w:p>
    <w:p>
      <w:r>
        <w:t xml:space="preserve">  imprevisibilidade dos resultados operacionais seguintes.</w:t>
      </w:r>
    </w:p>
    <w:p>
      <w:pPr>
        <w:pStyle w:val="Heading2"/>
      </w:pPr>
      <w:r>
        <w:t>3. Metodologia</w:t>
      </w:r>
    </w:p>
    <w:p>
      <w:pPr>
        <w:pStyle w:val="Heading3"/>
      </w:pPr>
      <w:r>
        <w:t>3.1 Dados e amostra</w:t>
      </w:r>
    </w:p>
    <w:p>
      <w:r>
        <w:t>A base de transcrições é o dataset público kurry (HuggingFace), com 33.362 earnings calls de 685 empresas que integraram o S&amp;P 500 entre 2005 e 2025. Preços e retornos vêm do Yahoo Finance; fundamentos trimestrais, do SEC EDGAR (XBRL), alinhados pela data de protocolo para evitar viés de antecipação; a classificação setorial segue Fama e French (1997), aplicada via código SIC; a taxa livre de risco é a da base de Kenneth French.</w:t>
      </w:r>
    </w:p>
    <w:p>
      <w:r>
        <w:t>Cada fala da transcrição é atribuída a um papel (gestor, analista ou operador) por um classificador em dois níveis: um LLM via linha de comando processou os 12.678 cabeçalhos de orador distintos e regras determinísticas cobrem os casos restantes. A classificação foi validada com matriz de confusão contra 292 rótulos manuais, com cerca de 90% de acerto global (detalhes na Seção 8).</w:t>
      </w:r>
    </w:p>
    <w:p>
      <w:pPr>
        <w:pStyle w:val="Heading3"/>
      </w:pPr>
      <w:r>
        <w:t>3.2 Construção da medida de divergência de tom</w:t>
      </w:r>
    </w:p>
    <w:p>
      <w:r>
        <w:t>Para cada call, cada gestor é representado como um ponto no plano definido pela fração de sentenças (ou palavras) positivas e negativas de sua fala. A Tone Distance da call é a distância euclidiana média entre os gestores e o centro da call, exigindo no mínimo dois gestores. O tom é medido de duas formas independentes: pela contagem de palavras positivas e negativas do dicionário Loughran-McDonald e pela classificação de cada sentença pelo FinBERT.</w:t>
      </w:r>
    </w:p>
    <w:p>
      <w:r>
        <w:t>A definição do centro da call admite duas construções, e o diagnóstico da diferença entre elas é uma contribuição deste trabalho. Na construção por média simples, cada gestor pesa igual, e um orador de participação marginal desloca o centro. Um caso concreto ilustra o problema: em uma call da Apple em 2020, um profissional de relações com investidores falou 283 palavras, das quais as únicas 6 classificadas como negativas pertenciam ao aviso legal padrão, e esse único ponto respondia por um terço do peso do sinal. Na construção agregada, o centro é o tom do texto completo da call, e cada palavra pesa igual; a ponderação adicional pelo volume de fala de cada gestor leva a ideia ao sinal individual. As três construções são reportadas na Seção 4, e a progressão dos resultados entre elas diagnostica exatamente quanto custa dar peso a oradores marginais.</w:t>
      </w:r>
    </w:p>
    <w:p>
      <w:r>
        <w:t>A implementação foi verificada por reimplementação independente nas 32.387 calls elegíveis, com diferença máxima de 8×10⁻¹⁷, e por exemplo auditável manualmente.</w:t>
      </w:r>
    </w:p>
    <w:p>
      <w:pPr>
        <w:pStyle w:val="Heading3"/>
      </w:pPr>
      <w:r>
        <w:t>3.3 Retornos anormais e variáveis de controle</w:t>
      </w:r>
    </w:p>
    <w:p>
      <w:r>
        <w:t>Os retornos anormais (CAR) seguem o modelo de mercado CAPM: beta estimado em janela de 100 pregões (mínimo de 70), separada do evento por um intervalo de 50 pregões, e acumulação do resíduo nas janelas [-1,+1], [-1,+2] e [-1,+5] centradas no dia do anúncio. Calls realizadas após o fechamento do pregão (27% da amostra) são ancoradas no pregão seguinte. Os controles reconstruídos incluem tamanho, book-to-market, alavancagem, rentabilidade, surpresa de lucro, momentum, reversão e efeitos fixos de empresa e de ano-trimestre, com erros-padrão agrupados por empresa e winsorização em 5/95.</w:t>
      </w:r>
    </w:p>
    <w:p>
      <w:pPr>
        <w:pStyle w:val="Heading3"/>
      </w:pPr>
      <w:r>
        <w:t>3.4 Especificação econométrica</w:t>
      </w:r>
    </w:p>
    <w:p>
      <w:r>
        <w:t>O teste central regride o resultado de interesse de cada hipótese (CAR do anúncio para H1; volatilidade realizada pós-anúncio para H2; magnitude da surpresa de lucro seguinte para H3; retorno dos três meses seguintes para a análise de retornos subsequentes) contra a TD e os controles, em painel com efeitos fixos de empresa e de tempo. O efeito fixo de empresa é essencial para a interpretação: o coeficiente mede o efeito de a MESMA empresa divergir mais do que o seu próprio padrão, e não diferenças permanentes entre empresas.</w:t>
      </w:r>
    </w:p>
    <w:p>
      <w:pPr>
        <w:pStyle w:val="Heading3"/>
      </w:pPr>
      <w:r>
        <w:t>3.5 Desenho do backtest</w:t>
      </w:r>
    </w:p>
    <w:p>
      <w:r>
        <w:t>Duas implementações independentes, ambas com custos e sem informação futura na seleção: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Carteira executada (implementação principal).</w:t>
      </w:r>
      <w:r>
        <w:t xml:space="preserve"> No fechamento de cada mês, compram-se em pesos iguais as 10 empresas de maior TD, usando a call mais recente dos 3 meses anteriores; a posição é mantida pelo mês seguinte e rebalanceada. Custos de 10 pontos-base por lado sobre o turnover realizado. O script audita, mês a mês, que nenhuma call utilizada é posterior ao início do mês investido.</w:t>
      </w:r>
    </w:p>
    <w:p>
      <w:pPr>
        <w:ind w:left="425" w:hanging="255"/>
        <w:jc w:val="both"/>
      </w:pPr>
      <w:r>
        <w:t xml:space="preserve">2. </w:t>
      </w:r>
      <w:r>
        <w:rPr>
          <w:b/>
        </w:rPr>
        <w:t>Long-short por quintis (especificação congelada antes da execução).</w:t>
      </w:r>
      <w:r>
        <w:t xml:space="preserve"> Carteira com tranches sobrepostas, entrada no fechamento do pregão seguinte à call, manutenção de 63 pregões, ranking do sinal contra os 90 dias anteriores, quintis extremos com direção fixada a priori, custos de 5 pontos-base por perna, amostra completa 2006 a 2025.</w:t>
      </w:r>
    </w:p>
    <w:p>
      <w:pPr>
        <w:pStyle w:val="Heading3"/>
      </w:pPr>
      <w:r>
        <w:t>3.6 Replicabilidade</w:t>
      </w:r>
    </w:p>
    <w:p>
      <w:r>
        <w:t>O repositório público contém código, documentação e dados derivados versionados. Qualquer avaliador reproduz todas as regressões e backtests com 4 comandos, sem reprocessamento das transcrições. O procedimento foi verificado pela equipe em clone limpo, com números idênticos.</w:t>
      </w:r>
    </w:p>
    <w:p>
      <w:pPr>
        <w:pStyle w:val="Heading2"/>
      </w:pPr>
      <w:r>
        <w:t>4. Resultados econométricos</w:t>
      </w:r>
    </w:p>
    <w:p>
      <w:r>
        <w:t>Esta seção reporta os testes de hipótese. Os retornos da estratégia estão na Seção 5.</w:t>
      </w:r>
    </w:p>
    <w:p>
      <w:pPr>
        <w:pStyle w:val="Heading3"/>
      </w:pPr>
      <w:r>
        <w:t>4.1 Validação da base</w:t>
      </w:r>
    </w:p>
    <w:p>
      <w:r>
        <w:t>Antes de qualquer regressão, verificamos que a base reconstruída é aderente à literatura: a distribuição da nossa TD (média 0,0086, mediana 0,0080, desvio 0,0047) é próxima da reportada na referência (0,0079, 0,0074, 0,0048), e os controles batem com os valores publicados (alavancagem 0,24 contra 0,235; alíquota efetiva mediana 0,22 contra 0,21; suavização de lucros 1,6 contra 1,4).</w:t>
      </w:r>
    </w:p>
    <w:p>
      <w:pPr>
        <w:pStyle w:val="Heading3"/>
      </w:pPr>
      <w:r>
        <w:t>4.2 H1, precificação no anúncio: confirmada</w:t>
      </w:r>
    </w:p>
    <w:p>
      <w:r>
        <w:t>A tabela reporta as estatísticas t do coeficiente da TD sobre o CAR do anúncio, nas três janelas de evento, para as três construções do sinal e os dois medidores de tom (amostra 2009 em diante, cerca de 23 mil eventos e 540 empresas):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−0,6 / −0,3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−0,2 / −0,5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−2,0 / −2,1 / −1,7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−1,9 / −2,3 / −2,3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−2,9 / −2,7 / −2,3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−2,4 / −2,4 / −2,5</w:t>
            </w:r>
          </w:p>
        </w:tc>
      </w:tr>
    </w:tbl>
    <w:p>
      <w:pPr>
        <w:spacing w:after="40"/>
      </w:pPr>
    </w:p>
    <w:p>
      <w:r>
        <w:t>(t nas janelas [-1,+1] / [-1,+2] / [-1,+5]. Efeito econômico: uma variação interquartil de TD corresponde a −0,11% a −0,16% de CAR.)</w:t>
      </w:r>
    </w:p>
    <w:p>
      <w:r>
        <w:t>Três conclusões. Primeira: H1 confirma-se na amostra completa quando o sinal respeita o volume de fala de cada gestor. Segunda: a progressão entre as linhas é monotônica; quanto mais peso ao ruído de oradores marginais, mais fraco o sinal, o que explica por que a construção por média simples falha. Terceira: os dois medidores de tom, cuja correlação entre si é de apenas 38%, produzem o mesmo quadro; o resultado não é artefato do instrumento.</w:t>
      </w:r>
    </w:p>
    <w:p>
      <w:pPr>
        <w:pStyle w:val="Heading3"/>
      </w:pPr>
      <w:r>
        <w:t>4.3 Retornos subsequentes: confirmados</w:t>
      </w:r>
    </w:p>
    <w:p>
      <w:r>
        <w:t>No painel mensal (retorno dos três meses após a call, efeitos fixos de empresa e mês, controles de valor, momentum, tamanho e reversão), o coeficiente da TD é positivo e significativo nos dois medidores (t=+2,1 no LM; t=+1,8 no FinBERT). Combinado à H1, o quadro é economicamente coerente: o mercado penaliza a empresa no anúncio e exige retorno maior para carregá-la nos meses seguintes, um prêmio de compensação pelo risco revelado.</w:t>
      </w:r>
    </w:p>
    <w:p>
      <w:pPr>
        <w:pStyle w:val="Heading3"/>
      </w:pPr>
      <w:r>
        <w:t>4.4 H3, incerteza operacional: confirmada</w:t>
      </w:r>
    </w:p>
    <w:p>
      <w:r>
        <w:t>A magnitude da surpresa de lucro do trimestre seguinte aumenta com a TD (t=+2,2 no painel completo). No exercício de previsão fora da amostra (Seção 4.6), este é o resultado preditivo mais forte do projeto: t=+3,58, com acerto direcional em 71% dos trimestres. A divergência de tom de hoje antecipa a imprevisibilidade do resultado do próximo trimestre.</w:t>
      </w:r>
    </w:p>
    <w:p>
      <w:pPr>
        <w:pStyle w:val="Heading3"/>
      </w:pPr>
      <w:r>
        <w:t>4.5 H2, risco: descartada como sinal</w:t>
      </w:r>
    </w:p>
    <w:p>
      <w:r>
        <w:t>Na amostra completa existe associação entre TD e volatilidade futura (t=+2,5 no medidor LM; ausente no FinBERT). A investigação econométrica localizou a origem: janelas de volatilidade que começam no dia seguinte ao anúncio ainda contêm a própria reação ao anúncio, e empresas de TD alta têm reação maior (que é exatamente a H1). Medida a partir do segundo dia, fora desse eco, a associação perde significância (t=+1,3). Nos testes de robustez, nenhuma das 16 especificações pré-definidas (com e sem o eco, dois horizontes, nível e log, duas construções do sinal) mostrou poder preditivo. A conclusão é que a TD não adiciona informação de risco além da que a volatilidade passada e os controles já contêm, e o canal foi descartado como sinal. A associação permanece verdadeira como descrição (empresas de TD alta são, em média, mais voláteis) e é incorporada à interpretação econômica do prêmio na Seção 5.3.</w:t>
      </w:r>
    </w:p>
    <w:p>
      <w:pPr>
        <w:pStyle w:val="Heading3"/>
      </w:pPr>
      <w:r>
        <w:t>4.6 Robustez e estabilidade temporal</w:t>
      </w:r>
    </w:p>
    <w:p>
      <w:r>
        <w:t>Além do painel em amostra completa, submetemos cada hipótese a dois exercícios de robustez: (i) reestimação usando apenas os dados disponíveis até cada data de corte, com verificação no período posterior; e (ii) previsão por evento fora da amostra, em que o modelo condicional é treinado só com o passado e usado para prever eventos futuros.</w:t>
      </w:r>
    </w:p>
    <w:p>
      <w:r>
        <w:t>Os resultados sustentam as conclusões das seções anteriores. O coeficiente de H1 tem o mesmo sinal negativo em todos os cortes analisados, e a previsão fora da amostra confirma o efeito (t=−2,12, com spread negativo em cada um dos anos de 2019 a 2025). A camada de retornos subsequentes mantém coeficiente positivo em todos os cortes. H3 entrega t=+3,58 fora da amostra. Nos períodos iniciais, com menos dados acumulados, os intervalos de confiança são naturalmente mais largos; a significância plena aparece na amostra completa, que é o comportamento esperado de um efeito estável estimado com precisão crescente. A exceção é a H2, que reprova nesses mesmos exercícios (t=+0,27 fora da amostra), o que motivou seu descarte. O fato de o mesmo protocolo validar duas hipóteses e reprovar uma terceira evidencia que o critério não é complacente.</w:t>
      </w:r>
    </w:p>
    <w:p>
      <w:pPr>
        <w:pStyle w:val="Heading2"/>
      </w:pPr>
      <w:r>
        <w:t>5. Resultados do backtest</w:t>
      </w:r>
    </w:p>
    <w:p>
      <w:pPr>
        <w:pStyle w:val="Heading3"/>
      </w:pPr>
      <w:r>
        <w:t>5.1 Carteira das 10 maiores TD</w:t>
      </w:r>
    </w:p>
    <w:p>
      <w:r>
        <w:t>Resultados da implementação principal em 199 meses (fevereiro de 2009 a agosto de 2025):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+2.061%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+20,4%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ano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EW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2009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+35,0%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+8,6%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+39,3%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+13,4%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+29,6%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2015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2016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+9,5%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2017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+21,6%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2018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−7,2%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−6,2%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+27,1%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+28,9%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+20,0%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+26,9%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+14,7%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2025*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+7,5%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+9,8%</w:t>
            </w:r>
          </w:p>
        </w:tc>
      </w:tr>
    </w:tbl>
    <w:p>
      <w:pPr>
        <w:spacing w:after="40"/>
      </w:pPr>
    </w:p>
    <w:p>
      <w:r>
        <w:t>(</w:t>
      </w:r>
      <w:r>
        <w:rPr>
          <w:i/>
        </w:rPr>
        <w:t>2025 até agosto. Turnover médio de 34% ao mês. As composições são verificáveis; por exemplo, agosto de 2025: HII, MCD, CAH, ES, MCK, MTCH, CSCO, ANET, PODD, ABNB. Séries mensais e composições completas em `data/interim/sp500/port10_</w:t>
      </w:r>
      <w:r>
        <w:t>.csv</w:t>
      </w:r>
      <w:r>
        <w:rPr>
          <w:rFonts w:ascii="Consolas" w:hAnsi="Consolas"/>
          <w:sz w:val="19"/>
        </w:rPr>
        <w:t xml:space="preserve">; replicação por </w:t>
      </w:r>
      <w:r>
        <w:t>scripts/sp500_port10.py`.)</w:t>
      </w:r>
    </w:p>
    <w:p>
      <w:r>
        <w:rPr>
          <w:b/>
        </w:rPr>
        <w:t>Análise.</w:t>
      </w:r>
      <w:r>
        <w:t xml:space="preserve"> O excesso sobre o S&amp;P 500 é de +7,1% ao ano (t=2,60), com vitória em 58% dos meses e em 13 dos 17 anos. Para atribuição correta, comparamos também com o universo elegível em pesos iguais, que isola o efeito da ponderação: contra essa régua, a seleção por TD adiciona +3,6% ao ano (t=1,59), positivo em todos os subperíodos analisados (de 2010 em diante, +1,8%; de 2015 em diante, +1,9%; de 2019 em diante, +2,6% ao ano), embora sem significância isolada, consequência esperada da concentração em 10 ativos, na qual o ruído específico de cada empresa domina. A carteira espelho (as 10 de menor TD) rende +15,3% ao ano, 5,1 pontos percentuais abaixo do top-10, na direção prevista pela tese.</w:t>
      </w:r>
    </w:p>
    <w:p>
      <w:pPr>
        <w:pStyle w:val="Heading3"/>
      </w:pPr>
      <w:r>
        <w:t>5.2 Estratégia long-short por quintis</w:t>
      </w:r>
    </w:p>
    <w:p>
      <w:r>
        <w:t>Na especificação congelada da Seção 3.5, o formato long-short por quintis não monetiza o sinal: os retornos líquidos anualizados variam de +0,3% a +4,4% conforme a construção (melhor Sharpe 0,22, estatisticamente nulo), contra Sharpe de 0,53 do mercado no período. O diagnóstico de pernas explica: a correlação entre as pontas long e short é baixa (0,6), e o quintil alto do sinal FinBERT embute exposição a ações de baixa volatilidade, um fator de risco, não tom. Reportamos as 6 construções testadas e as contabilizamos para fins de ajuste de múltiplas tentativas (Deflated Sharpe; Bailey e López de Prado, 2014) na entrega final.</w:t>
      </w:r>
    </w:p>
    <w:p>
      <w:pPr>
        <w:pStyle w:val="Heading3"/>
      </w:pPr>
      <w:r>
        <w:t>5.3 Interpretação e aplicações</w:t>
      </w:r>
    </w:p>
    <w:p>
      <w:r>
        <w:t>A leitura conjunta das duas implementações delimita o que a estratégia entrega. O prêmio da TD é real e direcional, mas de magnitude moderada (cerca de 15 pontos-base por variação interquartil no painel): em formato long-short de quintis ele não paga custos, e em carteira concentrada ele aparece com consistência em todos os subperíodos. O perfil de risco confirma a interpretação de prêmio de compensação: o top-10 realiza volatilidade maior que as demais réguas (20,6% contra 17,3% a 17,4%) e Sharpe semelhante ao do universo (1,01 contra 0,99), ou seja, o retorno adicional remunera o risco adicional das empresas de maior divergência. É o mesmo padrão descritivo documentado na Seção 4.5: o diferencial de volatilidade entre o top-10 e o bottom-10, de 6,1 pontos percentuais no período 2009 a 2014, cai para 1,2 ponto no período 2015 a 2025, confirmando por método independente que o canal de risco não é um sinal explorável.</w:t>
      </w:r>
    </w:p>
    <w:p>
      <w:r>
        <w:t>As aplicações sustentadas pela evidência: (i) tilt direcional, com a carteira de maior TD como sobreposição a um portfólio core; (ii) condicionamento de exposição a eventos, já que o escore fica disponível minutos após cada call e precifica o anúncio; (iii) posicionamento de volatilidade em torno do próximo anúncio das empresas de divergência alta, sustentado pela previsão da surpresa de lucro (t=+3,58); (iv) insumo em arcabouço multifator, cuja engenharia é o objeto da entrega final. Não há testes pendentes: toda afirmação deste relatório tem validação executada e reportada.</w:t>
      </w:r>
    </w:p>
    <w:p>
      <w:r>
        <w:rPr>
          <w:b/>
        </w:rPr>
        <w:t>Vieses tratados:</w:t>
      </w:r>
      <w:r>
        <w:t xml:space="preserve"> período completo 2005 a 2025, sem seleção; execução no pregão seguinte com carimbo de hora da call; universo com 685 empresas históricas do índice; custos incluídos; direção e janelas fixadas antes dos testes; auditoria de ausência de informação futura embutida nos scripts.</w:t>
      </w:r>
    </w:p>
    <w:p>
      <w:pPr>
        <w:pStyle w:val="Heading2"/>
      </w:pPr>
      <w:r>
        <w:t>6. Discussão e limitações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Papéis de orador reconstruídos</w:t>
      </w:r>
      <w:r>
        <w:t xml:space="preserve"> (cerca de 90% de acerto validado): as bases comerciais curadas usadas na literatura não têm esse ruído; parte da diferença de magnitude entre nossas estatísticas e as publicadas pode vir daí.</w:t>
      </w:r>
    </w:p>
    <w:p>
      <w:pPr>
        <w:ind w:left="425" w:hanging="255"/>
        <w:jc w:val="both"/>
      </w:pPr>
      <w:r>
        <w:t xml:space="preserve">2. </w:t>
      </w:r>
      <w:r>
        <w:rPr>
          <w:b/>
        </w:rPr>
        <w:t>Proxies:</w:t>
      </w:r>
      <w:r>
        <w:t xml:space="preserve"> surpresa de lucro via Yahoo Finance (não I/B/E/S); sem participação institucional (13F) e qualidade de accruals entre os controles; os demais 17 controles foram reconstruídos de fontes primárias.</w:t>
      </w:r>
    </w:p>
    <w:p>
      <w:pPr>
        <w:ind w:left="425" w:hanging="255"/>
        <w:jc w:val="both"/>
      </w:pPr>
      <w:r>
        <w:t xml:space="preserve">3. </w:t>
      </w:r>
      <w:r>
        <w:rPr>
          <w:b/>
        </w:rPr>
        <w:t>Sobrevivência parcial:</w:t>
      </w:r>
      <w:r>
        <w:t xml:space="preserve"> cerca de 3,4 mil eventos sem CAR por falta de preços de empresas deslistadas em fonte gratuita.</w:t>
      </w:r>
    </w:p>
    <w:p>
      <w:pPr>
        <w:ind w:left="425" w:hanging="255"/>
        <w:jc w:val="both"/>
      </w:pPr>
      <w:r>
        <w:t xml:space="preserve">4. </w:t>
      </w:r>
      <w:r>
        <w:rPr>
          <w:b/>
        </w:rPr>
        <w:t>Magnitude do efeito no anúncio:</w:t>
      </w:r>
      <w:r>
        <w:t xml:space="preserve"> −0,15% por variação interquartil não paga custos como estratégia isolada de arbitragem do anúncio em large caps; por isso a implementação proposta é de tilt, condicionamento e volatilidade.</w:t>
      </w:r>
    </w:p>
    <w:p>
      <w:pPr>
        <w:ind w:left="425" w:hanging="255"/>
        <w:jc w:val="both"/>
      </w:pPr>
      <w:r>
        <w:t xml:space="preserve">5. </w:t>
      </w:r>
      <w:r>
        <w:rPr>
          <w:b/>
        </w:rPr>
        <w:t>Concentração da carteira:</w:t>
      </w:r>
      <w:r>
        <w:t xml:space="preserve"> com 10 ativos, o excesso sobre o universo em pesos iguais é consistente mas não significativo isoladamente; diversificação maior é o caminho natural na entrega final.</w:t>
      </w:r>
    </w:p>
    <w:p>
      <w:pPr>
        <w:ind w:left="425" w:hanging="255"/>
        <w:jc w:val="both"/>
      </w:pPr>
      <w:r>
        <w:t xml:space="preserve">6. </w:t>
      </w:r>
      <w:r>
        <w:rPr>
          <w:b/>
        </w:rPr>
        <w:t>Ambiguidade de especificação na literatura:</w:t>
      </w:r>
      <w:r>
        <w:t xml:space="preserve"> a definição do centro da call admite duas construções; reportamos as duas e a escolha não foi guiada por resultado, e sim pela evidência textual da referência e pelo diagnóstico de ruído da Seção 3.2.</w:t>
      </w:r>
    </w:p>
    <w:p>
      <w:pPr>
        <w:pStyle w:val="Heading2"/>
      </w:pPr>
      <w:r>
        <w:t>7. Conclusão</w:t>
      </w:r>
    </w:p>
    <w:p>
      <w:r>
        <w:t>Este pré-relatório estabelece que a divergência de tom entre gestores é informação precificada. Confirmamos o efeito em universo independente com dados públicos, mostramos que ele sobrevive à troca completa do medidor de tom (do dicionário para o modelo neural) e transformamos o sinal em uma estratégia implementável e auditável.</w:t>
      </w:r>
    </w:p>
    <w:p>
      <w:r>
        <w:rPr>
          <w:b/>
        </w:rPr>
        <w:t>Tese de investimento.</w:t>
      </w:r>
      <w:r>
        <w:t xml:space="preserve"> A divergência de tom entre os executivos na earnings call é informação precificada em dois tempos. No anúncio, o mercado penaliza a empresa cuja diretoria diverge (efeito condicional negativo e estável no tempo). Nos meses seguintes, carregar as empresas de maior divergência captura um prêmio de compensação: a carteira das 10 maiores TD rendeu +20,4% ao ano contra +13,2% do S&amp;P 500 em 16 anos e meio, remunerando o risco adicional que o próprio sinal identifica. O mesmo escore antecipa a magnitude da surpresa do lucro seguinte, funcionando como indicador antecedente de incerteza pré-anúncio. A implementação recomendada combina tilt direcional, condicionamento de exposição a eventos e posicionamento de volatilidade, com a integração multifator como objeto da entrega final.</w:t>
      </w:r>
    </w:p>
    <w:p>
      <w:r>
        <w:rPr>
          <w:b/>
        </w:rPr>
        <w:t>Extensão para small e mid caps (teste pré-registrado).</w:t>
      </w:r>
      <w:r>
        <w:t xml:space="preserve"> Testamos o sinal em universo de 2.250 firmas fora do S&amp;P 500 (2019 a 2023), com hipóteses e especificações congeladas por pré-registro antes de qualquer resultado (docs/PREREG_MF.md, com registro de data em git). O painel resultou inconclusivo por falta de potência (coeficientes positivos, não significativos; janela curta; cobertura de preços de 69%). No mesmo período, o efeito segue presente nas large caps (t=−1,96), o que isola a causa no universo e na qualidade dos dados, não na época. A fronteira permanece documentada e não é apresentada como resultado.</w:t>
      </w:r>
    </w:p>
    <w:p>
      <w:r>
        <w:rPr>
          <w:b/>
        </w:rPr>
        <w:t>Próximos passos até a entrega final (17/08):</w:t>
      </w:r>
      <w:r>
        <w:t xml:space="preserve"> (1) desenho da integração multifator do escore, com contagem de tentativas e Deflated Sharpe; (2) robustez final de custos e análise de decaimento do sinal; (3) havendo dados de preços de deslistadas, revisitar a fronteira small/mid com o pré-registro já versionado.</w:t>
      </w:r>
    </w:p>
    <w:p>
      <w:r>
        <w:rPr>
          <w:b/>
        </w:rPr>
        <w:t>Nota de método.</w:t>
      </w:r>
      <w:r>
        <w:t xml:space="preserve"> Em amostra completa, as três hipóteses pareciam confirmadas. Foram os exercícios de robustez temporal que separaram os efeitos reais (H1, H3 e o prêmio de retornos subsequentes) do artefato (H2). Esse protocolo de validação, aplicado sem exceção, é parte central do que a equipe leva para a entrega final.</w:t>
      </w:r>
    </w:p>
    <w:p>
      <w:pPr>
        <w:pStyle w:val="Heading2"/>
      </w:pPr>
      <w:r>
        <w:t>8. Uso de IA generativa no processo</w:t>
      </w:r>
    </w:p>
    <w:p>
      <w:r>
        <w:t>O uso de GenAI é operacional e auditável, não declaratório: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Classificação de papéis por LLM (núcleo do pipeline).</w:t>
      </w:r>
      <w:r>
        <w:t xml:space="preserve"> Um processo por linha de comando (</w:t>
      </w:r>
      <w:r>
        <w:rPr>
          <w:rFonts w:ascii="Consolas" w:hAnsi="Consolas"/>
          <w:sz w:val="19"/>
        </w:rPr>
        <w:t>claude -p</w:t>
      </w:r>
      <w:r>
        <w:t xml:space="preserve">, modelo Haiku) classificou os 12.678 cabeçalhos de orador em lotes, com cache versionado e reprocessamento determinístico (cerca de 4,6 horas de execução). Validação: matriz de confusão contra 292 rótulos manuais (cerca de 90% de acerto global) e classificador determinístico independente para comparação (99% de concordância nos casos frequentes). Prompt, custos e validação documentados em </w:t>
      </w:r>
      <w:r>
        <w:rPr>
          <w:rFonts w:ascii="Consolas" w:hAnsi="Consolas"/>
          <w:sz w:val="19"/>
        </w:rPr>
        <w:t>docs/GENAI_USAGE.md</w:t>
      </w:r>
      <w:r>
        <w:t>.</w:t>
      </w:r>
    </w:p>
    <w:p>
      <w:pPr>
        <w:ind w:left="425" w:hanging="255"/>
        <w:jc w:val="both"/>
      </w:pPr>
      <w:r>
        <w:t xml:space="preserve">2. </w:t>
      </w:r>
      <w:r>
        <w:rPr>
          <w:b/>
        </w:rPr>
        <w:t>Par de engenharia e auditoria (processo inteiro).</w:t>
      </w:r>
      <w:r>
        <w:t xml:space="preserve"> Arquitetura do pipeline, código, testes, documentação e, com impacto direto no resultado, a auditoria da fórmula do centro da call: a reimplementação independente e o teste das duas construções foram conduzidos em par com o assistente (Claude), com as decisões econômicas e metodológicas sempre da equipe.</w:t>
      </w:r>
    </w:p>
    <w:p>
      <w:pPr>
        <w:ind w:left="425" w:hanging="255"/>
        <w:jc w:val="both"/>
      </w:pPr>
      <w:r>
        <w:t xml:space="preserve">3. </w:t>
      </w:r>
      <w:r>
        <w:rPr>
          <w:b/>
        </w:rPr>
        <w:t>O que não contabilizamos como GenAI:</w:t>
      </w:r>
      <w:r>
        <w:t xml:space="preserve"> o FinBERT é um modelo de linguagem do tipo encoder (classificação), parte do modelo quantitativo; permitido pelo edital, mas contabilizado como NLP/ML, não como IA generativa.</w:t>
      </w:r>
    </w:p>
    <w:p>
      <w:pPr>
        <w:pStyle w:val="Heading2"/>
      </w:pPr>
      <w:r>
        <w:t>Referências</w:t>
      </w:r>
    </w:p>
    <w:p>
      <w:r>
        <w:t xml:space="preserve">Angelo, Johnston, Singh e Wan (2025). Tone Distance: Managerial Tone Divergence and Market Reaction to Earnings. </w:t>
      </w:r>
      <w:r>
        <w:rPr>
          <w:i/>
        </w:rPr>
        <w:t>The Financial Review</w:t>
      </w:r>
      <w:r>
        <w:t>.</w:t>
      </w:r>
    </w:p>
    <w:p>
      <w:r>
        <w:t xml:space="preserve">Bailey, D. H., e López de Prado, M. (2014). The Deflated Sharpe Ratio: Correcting for Selection Bias, Backtest Overfitting, and Non-Normality. </w:t>
      </w:r>
      <w:r>
        <w:rPr>
          <w:i/>
        </w:rPr>
        <w:t>The Journal of Portfolio Management</w:t>
      </w:r>
      <w:r>
        <w:t>, 40(5).</w:t>
      </w:r>
    </w:p>
    <w:p>
      <w:r>
        <w:t xml:space="preserve">Fama, E. F., e French, K. R. (1997). Industry Costs of Equity. </w:t>
      </w:r>
      <w:r>
        <w:rPr>
          <w:i/>
        </w:rPr>
        <w:t>Journal of Financial Economics</w:t>
      </w:r>
      <w:r>
        <w:t>, 43(2).</w:t>
      </w:r>
    </w:p>
    <w:p>
      <w:r>
        <w:t xml:space="preserve">Huang, X., Teoh, S. H., e Zhang, Y. (2014). Tone Management. </w:t>
      </w:r>
      <w:r>
        <w:rPr>
          <w:i/>
        </w:rPr>
        <w:t>The Accounting Review</w:t>
      </w:r>
      <w:r>
        <w:t>, 89(3).</w:t>
      </w:r>
    </w:p>
    <w:p>
      <w:r>
        <w:t xml:space="preserve">Lee, J. (2016). Can Investors Detect Managers' Lack of Spontaneity? Adherence to Predetermined Scripts during Earnings Conference Calls. </w:t>
      </w:r>
      <w:r>
        <w:rPr>
          <w:i/>
        </w:rPr>
        <w:t>The Accounting Review</w:t>
      </w:r>
      <w:r>
        <w:t>, 91(1).</w:t>
      </w:r>
    </w:p>
    <w:p>
      <w:r>
        <w:t xml:space="preserve">Loughran, T., e McDonald, B. (2011). When Is a Liability Not a Liability? Textual Analysis, Dictionaries, and 10-Ks. </w:t>
      </w:r>
      <w:r>
        <w:rPr>
          <w:i/>
        </w:rPr>
        <w:t>The Journal of Finance</w:t>
      </w:r>
      <w:r>
        <w:t>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rPr>
          <w:i/>
        </w:rPr>
        <w:t>Todos os números deste relatório saem de scripts versionados no repositório e foram reproduzidos em clone limpo. Nenhum número foi digitado à mão.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