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drawing>
          <wp:inline xmlns:a="http://schemas.openxmlformats.org/drawingml/2006/main" xmlns:pic="http://schemas.openxmlformats.org/drawingml/2006/picture">
            <wp:extent cx="1115568" cy="1115568"/>
            <wp:docPr id="1" name="Picture 1" descr="Fontanillas Weather Observator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ori-fontanillas-avatar-v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111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286D55"/>
          <w:sz w:val="17"/>
        </w:rPr>
        <w:t>SANT CELONI · MONTSENY · 2026</w:t>
      </w:r>
    </w:p>
    <w:p>
      <w:pPr>
        <w:pStyle w:val="Title"/>
        <w:jc w:val="center"/>
      </w:pPr>
      <w:r>
        <w:t>Technical collaboration proposal</w:t>
      </w:r>
    </w:p>
    <w:p>
      <w:pPr>
        <w:pStyle w:val="Subtitle"/>
        <w:jc w:val="center"/>
      </w:pPr>
      <w:r>
        <w:t>Local weather observation, data integration and transparent outreach</w:t>
      </w:r>
    </w:p>
    <w:p>
      <w:pPr>
        <w:spacing w:before="560"/>
        <w:jc w:val="center"/>
      </w:pPr>
      <w:r>
        <w:rPr>
          <w:rFonts w:ascii="Aptos" w:hAnsi="Aptos"/>
          <w:b/>
          <w:i w:val="0"/>
          <w:color w:val="286D55"/>
          <w:sz w:val="24"/>
        </w:rPr>
        <w:t>meteo.fontanillas.cat</w:t>
      </w:r>
    </w:p>
    <w:p>
      <w:pPr>
        <w:jc w:val="center"/>
      </w:pPr>
      <w:r>
        <w:rPr>
          <w:rFonts w:ascii="Aptos" w:hAnsi="Aptos"/>
          <w:b w:val="0"/>
          <w:i w:val="0"/>
          <w:color w:val="5D6F68"/>
          <w:sz w:val="21"/>
        </w:rPr>
        <w:t>meteo@fontanillas.cat</w:t>
      </w:r>
    </w:p>
    <w:p>
      <w:pPr>
        <w:spacing w:before="720"/>
        <w:jc w:val="center"/>
      </w:pPr>
      <w:r>
        <w:rPr>
          <w:rFonts w:ascii="Aptos" w:hAnsi="Aptos"/>
          <w:b/>
          <w:i w:val="0"/>
          <w:color w:val="123F31"/>
          <w:sz w:val="19"/>
        </w:rPr>
        <w:t>CAT · ES · EN · FR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THE PROJECT</w:t>
      </w:r>
    </w:p>
    <w:p>
      <w:pPr>
        <w:pStyle w:val="Heading1"/>
      </w:pPr>
      <w:r>
        <w:t>A public-minded local observatory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The Fontanillas Weather Observatory turns real weather observations from Sant Celoni into clear, verifiable and useful information for the community.</w:t>
      </w:r>
    </w:p>
    <w:p>
      <w:pPr>
        <w:pStyle w:val="Heading2"/>
      </w:pPr>
      <w:r>
        <w:t>What it brings together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Observation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Live readings, a weather archive and clear sensor context.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Forecasting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Forecasts kept separate from observations and verified afterwards.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Outreach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Educational resources and weather content for web and social channels.</w:t>
            </w:r>
          </w:p>
        </w:tc>
      </w:tr>
    </w:tbl>
    <w:p>
      <w:pPr>
        <w:spacing w:after="0"/>
      </w:pPr>
    </w:p>
    <w:p>
      <w:pPr>
        <w:pStyle w:val="Heading2"/>
      </w:pPr>
      <w:r>
        <w:t>An operational technical foundation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Multilingual portal.  </w:t>
      </w:r>
      <w:r>
        <w:rPr>
          <w:rFonts w:ascii="Aptos" w:hAnsi="Aptos"/>
          <w:b w:val="0"/>
          <w:i w:val="0"/>
          <w:color w:val="173129"/>
          <w:sz w:val="21"/>
        </w:rPr>
        <w:t>Public content in Catalan, Spanish, English and French, with municipality search and a mobile-first experience.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Data and automation.  </w:t>
      </w:r>
      <w:r>
        <w:rPr>
          <w:rFonts w:ascii="Aptos" w:hAnsi="Aptos"/>
          <w:b w:val="0"/>
          <w:i w:val="0"/>
          <w:color w:val="173129"/>
          <w:sz w:val="21"/>
        </w:rPr>
        <w:t>Live website, historical archive, separate official alerts, forecast verification and automated social formats.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Field setting.  </w:t>
      </w:r>
      <w:r>
        <w:rPr>
          <w:rFonts w:ascii="Aptos" w:hAnsi="Aptos"/>
          <w:b w:val="0"/>
          <w:i w:val="0"/>
          <w:color w:val="173129"/>
          <w:sz w:val="21"/>
        </w:rPr>
        <w:t>Sant Celoni lies between the Vallès plain and the Montseny massif, a useful setting for documenting local rain, wind, radiation and temperature changes.</w:t>
      </w:r>
    </w:p>
    <w:p>
      <w:pPr>
        <w:pStyle w:val="Heading2"/>
      </w:pPr>
      <w:r>
        <w:t>Editorial principle</w:t>
      </w:r>
    </w:p>
    <w:p>
      <w:pPr>
        <w:ind w:left="360" w:right="360"/>
      </w:pPr>
      <w:r>
        <w:rPr>
          <w:rFonts w:ascii="Aptos" w:hAnsi="Aptos"/>
          <w:b/>
          <w:i w:val="0"/>
          <w:color w:val="123F31"/>
          <w:sz w:val="22"/>
        </w:rPr>
        <w:t>Observed data, forecasts, official alerts and interpretation are always presented as distinct categories.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THE COLLABORATION</w:t>
      </w:r>
    </w:p>
    <w:p>
      <w:pPr>
        <w:pStyle w:val="Heading1"/>
      </w:pPr>
      <w:r>
        <w:t>Useful equipment, public results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No financial contribution is required. We are seeking donated or loaned equipment and technical support to build a genuine, well-documented field case.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Partner contribution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An agreed station, gateway, sensor or technical access, plus applicable documentation and terms.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Observatory work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Compatibility review, installation, integration, monitoring, documentation and publication.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Public outcome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A technical page or article, educational explanation, visible attribution and communication through project channels.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Duration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Defined for the equipment: a short test, temporary loan or stable installation.</w:t>
            </w:r>
          </w:p>
        </w:tc>
      </w:tr>
    </w:tbl>
    <w:p>
      <w:pPr>
        <w:pStyle w:val="Heading2"/>
      </w:pPr>
      <w:r>
        <w:t>Possible deliverables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Installation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Siting, connectivity and maintenance criteria explained in practical terms.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Integration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A documented data and API workflow with no exposed credentials or licence bypasses.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Case study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Results, issues and limitations published with clear equipment attribution.</w:t>
            </w:r>
          </w:p>
        </w:tc>
      </w:tr>
    </w:tbl>
    <w:p>
      <w:pPr>
        <w:spacing w:after="0"/>
      </w:pPr>
    </w:p>
    <w:p>
      <w:pPr>
        <w:pStyle w:val="Heading2"/>
      </w:pPr>
      <w:r>
        <w:t>Social channels and periodic posts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Channels.  </w:t>
      </w:r>
      <w:r>
        <w:rPr>
          <w:rFonts w:ascii="Aptos" w:hAnsi="Aptos"/>
          <w:b w:val="0"/>
          <w:i w:val="0"/>
          <w:color w:val="173129"/>
          <w:sz w:val="21"/>
        </w:rPr>
        <w:t>Instagram, Facebook, TikTok, YouTube and X, with access to the other communities through the project’s official social directory.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Continuity.  </w:t>
      </w:r>
      <w:r>
        <w:rPr>
          <w:rFonts w:ascii="Aptos" w:hAnsi="Aptos"/>
          <w:b w:val="0"/>
          <w:i w:val="0"/>
          <w:color w:val="173129"/>
          <w:sz w:val="21"/>
        </w:rPr>
        <w:t>An initial announcement, agreed periodic updates during the collaboration and a final results piece, at a cadence designed not to overwhelm the audience.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Disclosure.  </w:t>
      </w:r>
      <w:r>
        <w:rPr>
          <w:rFonts w:ascii="Aptos" w:hAnsi="Aptos"/>
          <w:b w:val="0"/>
          <w:i w:val="0"/>
          <w:color w:val="173129"/>
          <w:sz w:val="21"/>
        </w:rPr>
        <w:t>Every item will clearly identify donated or loaned equipment or sponsorship and follow each platform’s advertising rules.</w:t>
      </w:r>
    </w:p>
    <w:p>
      <w:pPr>
        <w:pStyle w:val="Heading2"/>
      </w:pPr>
      <w:r>
        <w:t>No artificial promises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No reach guarantee.  </w:t>
      </w:r>
      <w:r>
        <w:rPr>
          <w:rFonts w:ascii="Aptos" w:hAnsi="Aptos"/>
          <w:b w:val="0"/>
          <w:i w:val="0"/>
          <w:color w:val="173129"/>
          <w:sz w:val="21"/>
        </w:rPr>
        <w:t>We do not offer unverified audience figures or purchase engagement.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No positive-review guarantee.  </w:t>
      </w:r>
      <w:r>
        <w:rPr>
          <w:rFonts w:ascii="Aptos" w:hAnsi="Aptos"/>
          <w:b w:val="0"/>
          <w:i w:val="0"/>
          <w:color w:val="173129"/>
          <w:sz w:val="21"/>
        </w:rPr>
        <w:t>The collaboration enables testing and explanation; conclusions remain independent.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APPLICATIONS</w:t>
      </w:r>
    </w:p>
    <w:p>
      <w:pPr>
        <w:pStyle w:val="Heading1"/>
      </w:pPr>
      <w:r>
        <w:t>Equipment that can add value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The scope is adapted to the product and its technical terms. We favour a small, sustainable and measurable integration.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Complete station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Temperature, humidity, pressure, precipitation and wind for an integrated assessment.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Rain gauge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Event comparison, resolution, maintenance and data continuity.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Wind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Gust and direction monitoring, including sensor-siting decisions.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Solar and UV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Solar context, comfort and educational resources about exposure.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Air and environment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Particulate matter, CO₂ or other variables, clearly separated from official alerts.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Soil or vegetation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Moisture, temperature or leaf wetness for environmental and educational uses.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Lightning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Detection and public explanation without replacing official radar or alerts.</w:t>
            </w:r>
          </w:p>
        </w:tc>
      </w:tr>
    </w:tbl>
    <w:p>
      <w:pPr>
        <w:pStyle w:val="Heading2"/>
      </w:pPr>
      <w:r>
        <w:t>Compatibility before installation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Connectivity.  </w:t>
      </w:r>
      <w:r>
        <w:rPr>
          <w:rFonts w:ascii="Aptos" w:hAnsi="Aptos"/>
          <w:b w:val="0"/>
          <w:i w:val="0"/>
          <w:color w:val="173129"/>
          <w:sz w:val="21"/>
        </w:rPr>
        <w:t>Wi‑Fi, radio, power, range and failure recovery are reviewed first.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Data.  </w:t>
      </w:r>
      <w:r>
        <w:rPr>
          <w:rFonts w:ascii="Aptos" w:hAnsi="Aptos"/>
          <w:b w:val="0"/>
          <w:i w:val="0"/>
          <w:color w:val="173129"/>
          <w:sz w:val="21"/>
        </w:rPr>
        <w:t>Ownership, frequency, retention, API, export and attribution are documented.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Maintenance.  </w:t>
      </w:r>
      <w:r>
        <w:rPr>
          <w:rFonts w:ascii="Aptos" w:hAnsi="Aptos"/>
          <w:b w:val="0"/>
          <w:i w:val="0"/>
          <w:color w:val="173129"/>
          <w:sz w:val="21"/>
        </w:rPr>
        <w:t>Cleaning, available calibration, consumables, warranty and return conditions are agreed for loans.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SAFEGUARDS</w:t>
      </w:r>
    </w:p>
    <w:p>
      <w:pPr>
        <w:pStyle w:val="Heading1"/>
      </w:pPr>
      <w:r>
        <w:t>Transparency and responsibility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A collaboration is worthwhile only if it improves observation without confusing advertising, data and conclusions.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Visible disclosure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Every donation, loan or technical access arrangement is identified on the relevant page.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Independence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The brand does not control results, wording or meteorological conclusions.</w:t>
            </w:r>
          </w:p>
        </w:tc>
        <w:tc>
          <w:tcPr>
            <w:tcW w:type="dxa" w:w="31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123F31"/>
                <w:sz w:val="22"/>
              </w:rPr>
              <w:t>Traceability</w:t>
            </w:r>
          </w:p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i w:val="0"/>
                <w:color w:val="5D6F68"/>
                <w:sz w:val="18"/>
              </w:rPr>
              <w:t>Source, data type, scale and limitations remain visible.</w:t>
            </w:r>
          </w:p>
        </w:tc>
      </w:tr>
    </w:tbl>
    <w:p>
      <w:pPr>
        <w:spacing w:after="0"/>
      </w:pPr>
    </w:p>
    <w:p>
      <w:pPr>
        <w:pStyle w:val="Heading2"/>
      </w:pPr>
      <w:r>
        <w:t>Observatory commitments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Accuracy.  </w:t>
      </w:r>
      <w:r>
        <w:rPr>
          <w:rFonts w:ascii="Aptos" w:hAnsi="Aptos"/>
          <w:b w:val="0"/>
          <w:i w:val="0"/>
          <w:color w:val="173129"/>
          <w:sz w:val="21"/>
        </w:rPr>
        <w:t>Never invent data, sensors, states or product benefits.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Security.  </w:t>
      </w:r>
      <w:r>
        <w:rPr>
          <w:rFonts w:ascii="Aptos" w:hAnsi="Aptos"/>
          <w:b w:val="0"/>
          <w:i w:val="0"/>
          <w:color w:val="173129"/>
          <w:sz w:val="21"/>
        </w:rPr>
        <w:t>Never expose keys, accounts, sensitive locations or administrative access.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Licensing.  </w:t>
      </w:r>
      <w:r>
        <w:rPr>
          <w:rFonts w:ascii="Aptos" w:hAnsi="Aptos"/>
          <w:b w:val="0"/>
          <w:i w:val="0"/>
          <w:color w:val="173129"/>
          <w:sz w:val="21"/>
        </w:rPr>
        <w:t>Use data, APIs, images and logos only with permission and under the applicable terms.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Alerts.  </w:t>
      </w:r>
      <w:r>
        <w:rPr>
          <w:rFonts w:ascii="Aptos" w:hAnsi="Aptos"/>
          <w:b w:val="0"/>
          <w:i w:val="0"/>
          <w:color w:val="173129"/>
          <w:sz w:val="21"/>
        </w:rPr>
        <w:t>Meteocat, AEMET, Civil Protection and emergency services always take precedence over project summaries.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Privacy.  </w:t>
      </w:r>
      <w:r>
        <w:rPr>
          <w:rFonts w:ascii="Aptos" w:hAnsi="Aptos"/>
          <w:b w:val="0"/>
          <w:i w:val="0"/>
          <w:color w:val="173129"/>
          <w:sz w:val="21"/>
        </w:rPr>
        <w:t>Do not share personal user data or turn the collaboration into advertising tracking.</w:t>
      </w:r>
    </w:p>
    <w:p>
      <w:pPr>
        <w:pStyle w:val="Heading2"/>
      </w:pPr>
      <w:r>
        <w:t>Not included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Hidden advertising.  </w:t>
      </w:r>
      <w:r>
        <w:rPr>
          <w:rFonts w:ascii="Aptos" w:hAnsi="Aptos"/>
          <w:b w:val="0"/>
          <w:i w:val="0"/>
          <w:color w:val="173129"/>
          <w:sz w:val="21"/>
        </w:rPr>
        <w:t>The relationship will not be concealed or presented as an unsolicited recommendation.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Automatic exclusivity.  </w:t>
      </w:r>
      <w:r>
        <w:rPr>
          <w:rFonts w:ascii="Aptos" w:hAnsi="Aptos"/>
          <w:b w:val="0"/>
          <w:i w:val="0"/>
          <w:color w:val="173129"/>
          <w:sz w:val="21"/>
        </w:rPr>
        <w:t>Any exclusivity would require a separate agreement and could never affect data independence.</w:t>
      </w:r>
    </w:p>
    <w:p>
      <w:r>
        <w:br w:type="page"/>
      </w:r>
    </w:p>
    <w:p>
      <w:pPr>
        <w:spacing w:after="140"/>
      </w:pPr>
      <w:r>
        <w:rPr>
          <w:rFonts w:ascii="Aptos" w:hAnsi="Aptos"/>
          <w:b/>
          <w:i w:val="0"/>
          <w:color w:val="286D55"/>
          <w:sz w:val="17"/>
        </w:rPr>
        <w:t>NEXT STEP</w:t>
      </w:r>
    </w:p>
    <w:p>
      <w:pPr>
        <w:pStyle w:val="Heading1"/>
      </w:pPr>
      <w:r>
        <w:t>A small, well-defined trial</w:t>
      </w:r>
    </w:p>
    <w:p>
      <w:pPr>
        <w:spacing w:after="240" w:line="307" w:lineRule="auto"/>
      </w:pPr>
      <w:r>
        <w:rPr>
          <w:rFonts w:ascii="Aptos" w:hAnsi="Aptos"/>
          <w:b/>
          <w:i w:val="0"/>
          <w:color w:val="123F31"/>
          <w:sz w:val="24"/>
        </w:rPr>
        <w:t>The best starting point is one agreed device, one evaluation question and a reasonable trial period.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1. Proposal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Product or sensor, equipment arrangement and collaboration objective.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2. Review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Technical compatibility, siting, data, licences, attribution and maintenance.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3. Agreement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Deliverables, schedule, return terms where relevant and public disclosure.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4. Delivery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Installation, validation, integration and monitoring with documented issues.</w:t>
            </w:r>
          </w:p>
        </w:tc>
      </w:tr>
      <w:tr>
        <w:tc>
          <w:tcPr>
            <w:tcW w:type="dxa" w:w="27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8F3EE"/>
          </w:tcPr>
          <w:p>
            <w:r>
              <w:rPr>
                <w:rFonts w:ascii="Aptos" w:hAnsi="Aptos"/>
                <w:b/>
                <w:i w:val="0"/>
                <w:color w:val="123F31"/>
                <w:sz w:val="19"/>
              </w:rPr>
              <w:t>5. Publication</w:t>
            </w:r>
          </w:p>
        </w:tc>
        <w:tc>
          <w:tcPr>
            <w:tcW w:type="dxa" w:w="660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3129"/>
                <w:sz w:val="19"/>
              </w:rPr>
              <w:t>Case study, educational resources and independent conclusions.</w:t>
            </w:r>
          </w:p>
        </w:tc>
      </w:tr>
    </w:tbl>
    <w:p>
      <w:pPr>
        <w:pStyle w:val="Heading2"/>
      </w:pPr>
      <w:r>
        <w:t>Contact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Project lead.  </w:t>
      </w:r>
      <w:r>
        <w:rPr>
          <w:rFonts w:ascii="Aptos" w:hAnsi="Aptos"/>
          <w:b w:val="0"/>
          <w:i w:val="0"/>
          <w:color w:val="173129"/>
          <w:sz w:val="21"/>
        </w:rPr>
        <w:t>Marcel Fontanillas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Email.  </w:t>
      </w:r>
      <w:r>
        <w:rPr>
          <w:rFonts w:ascii="Aptos" w:hAnsi="Aptos"/>
          <w:b w:val="0"/>
          <w:i w:val="0"/>
          <w:color w:val="173129"/>
          <w:sz w:val="21"/>
        </w:rPr>
        <w:t>meteo@fontanillas.cat</w:t>
      </w:r>
    </w:p>
    <w:p>
      <w:pPr>
        <w:spacing w:after="160"/>
      </w:pPr>
      <w:r>
        <w:rPr>
          <w:rFonts w:ascii="Aptos" w:hAnsi="Aptos"/>
          <w:b/>
          <w:i w:val="0"/>
          <w:color w:val="123F31"/>
          <w:sz w:val="21"/>
        </w:rPr>
        <w:t xml:space="preserve">Website.  </w:t>
      </w:r>
      <w:r>
        <w:rPr>
          <w:rFonts w:ascii="Aptos" w:hAnsi="Aptos"/>
          <w:b w:val="0"/>
          <w:i w:val="0"/>
          <w:color w:val="173129"/>
          <w:sz w:val="21"/>
        </w:rPr>
        <w:t>https://meteo.fontanillas.cat</w:t>
      </w:r>
    </w:p>
    <w:p>
      <w:pPr>
        <w:spacing w:before="360"/>
        <w:jc w:val="center"/>
      </w:pPr>
      <w:r>
        <w:rPr>
          <w:rFonts w:ascii="Aptos" w:hAnsi="Aptos"/>
          <w:b/>
          <w:i w:val="0"/>
          <w:color w:val="286D55"/>
          <w:sz w:val="19"/>
        </w:rPr>
        <w:t>LOCAL OBSERVATION · VERIFIABLE DATA · OPEN OUTREACH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/>
        <w:i w:val="0"/>
        <w:color w:val="286D55"/>
        <w:sz w:val="17"/>
      </w:rPr>
      <w:t>meteo.fontanillas.cat</w:t>
    </w:r>
    <w:r>
      <w:rPr>
        <w:rFonts w:ascii="Aptos" w:hAnsi="Aptos"/>
        <w:b w:val="0"/>
        <w:i w:val="0"/>
        <w:color w:val="5D6F68"/>
        <w:sz w:val="17"/>
      </w:rPr>
      <w:t xml:space="preserve">  ·  </w:t>
    </w:r>
    <w:r>
      <w:rPr>
        <w:rFonts w:ascii="Aptos" w:hAnsi="Aptos"/>
        <w:b w:val="0"/>
        <w:i w:val="0"/>
        <w:color w:val="5D6F68"/>
        <w:sz w:val="17"/>
      </w:rPr>
      <w:t>Equipment collaboration proposal</w:t>
    </w:r>
  </w:p>
  <w:p>
    <w:pPr>
      <w:jc w:val="right"/>
    </w:pPr>
    <w:r>
      <w:rPr>
        <w:rFonts w:ascii="Aptos" w:hAnsi="Aptos"/>
        <w:b w:val="0"/>
        <w:i w:val="0"/>
        <w:color w:val="5D6F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60" w:type="dxa"/>
            <w:end w:w="0" w:type="dxa"/>
          </w:tcMar>
          <w:vAlign w:val="center"/>
        </w:tcPr>
        <w:p>
          <w:r>
            <w:rPr>
              <w:rFonts w:ascii="Aptos" w:hAnsi="Aptos"/>
              <w:b/>
              <w:i w:val="0"/>
              <w:color w:val="5D6F68"/>
              <w:sz w:val="16"/>
            </w:rPr>
            <w:t>FONTANILLAS WEATHER OBSERVATORY</w:t>
          </w:r>
        </w:p>
      </w:tc>
      <w:tc>
        <w:tcPr>
          <w:tcW w:type="dxa" w:w="4680"/>
          <w:tcMar>
            <w:top w:w="0" w:type="dxa"/>
            <w:start w:w="0" w:type="dxa"/>
            <w:bottom w:w="6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5D6F68"/>
              <w:sz w:val="16"/>
            </w:rPr>
            <w:t>Collaboration dossier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1731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F3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6D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F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F3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 Display" w:hAnsi="Aptos Display"/>
      <w:b w:val="0"/>
      <w:i/>
      <w:iCs/>
      <w:color w:val="5D6F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collaboration proposal</dc:title>
  <dc:subject>Collaboration dossier</dc:subject>
  <dc:creator>Observatori Meteorològic Fontanillas</dc:creator>
  <cp:keywords>weather, observatory, collaboration, equipment, Sant Celoni, Montseny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