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0" w:name="__Fieldmark__5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0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Means (m) and standard deviations (s) as derived from the standard 95% reference intervals for the arterial acid-base variables. The standard deviations are calculated by assuming the 95% reference intervals to be 4 standard deviations wide.</w:t>
      </w:r>
    </w:p>
    <w:tbl>
      <w:tblPr>
        <w:tblW w:w="9356" w:type="dxa"/>
        <w:jc w:val="star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2"/>
        <w:gridCol w:w="2217"/>
        <w:gridCol w:w="1894"/>
        <w:gridCol w:w="2693"/>
      </w:tblGrid>
      <w:tr>
        <w:trPr/>
        <w:tc>
          <w:tcPr>
            <w:tcW w:w="255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95 % reference interval</w:t>
            </w:r>
          </w:p>
        </w:tc>
        <w:tc>
          <w:tcPr>
            <w:tcW w:w="189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i/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>
                <w:i/>
                <w:i/>
              </w:rPr>
            </w:pPr>
            <w:r>
              <w:rPr>
                <w:i/>
              </w:rPr>
              <w:t>s</w:t>
            </w:r>
          </w:p>
        </w:tc>
      </w:tr>
      <w:tr>
        <w:trPr/>
        <w:tc>
          <w:tcPr>
            <w:tcW w:w="2552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pH</w:t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7.35 – 7.45</w:t>
            </w:r>
          </w:p>
        </w:tc>
        <w:tc>
          <w:tcPr>
            <w:tcW w:w="1894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7.40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0.025</w:t>
            </w:r>
          </w:p>
        </w:tc>
      </w:tr>
      <w:tr>
        <w:trPr/>
        <w:tc>
          <w:tcPr>
            <w:tcW w:w="2552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PaCO</w:t>
            </w:r>
            <w:r>
              <w:rPr>
                <w:vertAlign w:val="subscript"/>
              </w:rPr>
              <w:t>2</w:t>
            </w:r>
            <w:r>
              <w:rPr/>
              <w:t xml:space="preserve"> (mmHg)</w:t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35 – 45</w:t>
            </w:r>
          </w:p>
        </w:tc>
        <w:tc>
          <w:tcPr>
            <w:tcW w:w="1894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40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2.5</w:t>
            </w:r>
          </w:p>
        </w:tc>
      </w:tr>
      <w:tr>
        <w:trPr/>
        <w:tc>
          <w:tcPr>
            <w:tcW w:w="2552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PaCO</w:t>
            </w:r>
            <w:r>
              <w:rPr>
                <w:vertAlign w:val="subscript"/>
              </w:rPr>
              <w:t>2</w:t>
            </w:r>
            <w:r>
              <w:rPr/>
              <w:t xml:space="preserve"> (kPa)</w:t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4.7 – 6.0</w:t>
            </w:r>
          </w:p>
        </w:tc>
        <w:tc>
          <w:tcPr>
            <w:tcW w:w="1894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5.33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0.325</w:t>
            </w:r>
          </w:p>
        </w:tc>
      </w:tr>
      <w:tr>
        <w:trPr/>
        <w:tc>
          <w:tcPr>
            <w:tcW w:w="2552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BE (mmol/l)</w:t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-3 – 3</w:t>
            </w:r>
          </w:p>
        </w:tc>
        <w:tc>
          <w:tcPr>
            <w:tcW w:w="1894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0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1.5</w:t>
            </w:r>
          </w:p>
        </w:tc>
      </w:tr>
      <w:tr>
        <w:trPr/>
        <w:tc>
          <w:tcPr>
            <w:tcW w:w="2552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a[</w:t>
            </w:r>
            <w:r>
              <w:rPr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/>
              <w:t>] (mmol/l)</w:t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21 – 27</w:t>
            </w:r>
          </w:p>
        </w:tc>
        <w:tc>
          <w:tcPr>
            <w:tcW w:w="1894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24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1.5</w:t>
            </w:r>
          </w:p>
        </w:tc>
      </w:tr>
      <w:tr>
        <w:trPr/>
        <w:tc>
          <w:tcPr>
            <w:tcW w:w="2552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log PaCO</w:t>
            </w:r>
            <w:r>
              <w:rPr>
                <w:vertAlign w:val="subscript"/>
              </w:rPr>
              <w:t>2</w:t>
            </w:r>
            <w:r>
              <w:rPr/>
              <w:t xml:space="preserve"> (mmHg)</w:t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log 35 – log 40</w:t>
            </w:r>
          </w:p>
        </w:tc>
        <w:tc>
          <w:tcPr>
            <w:tcW w:w="1894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log 40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(log 35 – log 40) / 4</w:t>
            </w:r>
          </w:p>
        </w:tc>
      </w:tr>
      <w:tr>
        <w:trPr/>
        <w:tc>
          <w:tcPr>
            <w:tcW w:w="2552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log PaCO</w:t>
            </w:r>
            <w:r>
              <w:rPr>
                <w:vertAlign w:val="subscript"/>
              </w:rPr>
              <w:t>2</w:t>
            </w:r>
            <w:r>
              <w:rPr/>
              <w:t xml:space="preserve"> (kPa)</w:t>
            </w:r>
          </w:p>
        </w:tc>
        <w:tc>
          <w:tcPr>
            <w:tcW w:w="2217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log 4.7 – log 6.0</w:t>
            </w:r>
          </w:p>
        </w:tc>
        <w:tc>
          <w:tcPr>
            <w:tcW w:w="1894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log 5.33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(log 4.7 – log 6.0) / 4</w:t>
            </w:r>
          </w:p>
        </w:tc>
      </w:tr>
      <w:tr>
        <w:trPr/>
        <w:tc>
          <w:tcPr>
            <w:tcW w:w="25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log a[</w:t>
            </w:r>
            <w:r>
              <w:rPr>
                <w:rFonts w:cs="Animals" w:ascii="Animals" w:hAnsi="Animals"/>
              </w:rPr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m:t xml:space="preserve">HCO</m:t>
                  </m:r>
                </m:e>
                <m:sub>
                  <m:r>
                    <m:t xml:space="preserve">3</m:t>
                  </m:r>
                </m:sub>
                <m:sup>
                  <m:r>
                    <m:t xml:space="preserve">−</m:t>
                  </m:r>
                </m:sup>
              </m:sSubSup>
            </m:oMath>
            <w:r>
              <w:rPr/>
              <w:t>]</w:t>
            </w:r>
          </w:p>
        </w:tc>
        <w:tc>
          <w:tcPr>
            <w:tcW w:w="221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log 21 – log 27</w:t>
            </w:r>
          </w:p>
        </w:tc>
        <w:tc>
          <w:tcPr>
            <w:tcW w:w="189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log 24</w:t>
            </w:r>
          </w:p>
        </w:tc>
        <w:tc>
          <w:tcPr>
            <w:tcW w:w="269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(log 21 – log 27) / 4</w:t>
            </w:r>
          </w:p>
        </w:tc>
      </w:tr>
    </w:tbl>
    <w:p>
      <w:pPr>
        <w:pStyle w:val="Tabel"/>
        <w:rPr/>
      </w:pPr>
      <w:r>
        <w:rPr/>
      </w:r>
    </w:p>
    <w:p>
      <w:pPr>
        <w:pStyle w:val="Tabe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1" w:name="__Fieldmark__12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1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. Normalised eigenvectors </w:t>
      </w:r>
      <w:r>
        <w:rPr>
          <w:rFonts w:eastAsia="Symbol" w:cs="Symbol" w:ascii="Symbol" w:hAnsi="Symbol"/>
        </w:rPr>
        <w:t></w:t>
      </w:r>
      <w:r>
        <w:rPr/>
        <w:t xml:space="preserve"> of each principal component as obtained after PCA. The eigenvectors for PC1, PC2 and PC3 are columns 1, 2 and 3, respectively of the eigenmatrix matrix U. The eigenmatrix U will be the input of calculations to be presented in the next chapters.</w:t>
      </w:r>
    </w:p>
    <w:tbl>
      <w:tblPr>
        <w:tblW w:w="9356" w:type="dxa"/>
        <w:jc w:val="star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1160"/>
        <w:gridCol w:w="2851"/>
        <w:gridCol w:w="2670"/>
        <w:gridCol w:w="2675"/>
      </w:tblGrid>
      <w:tr>
        <w:trPr>
          <w:tblHeader w:val="true"/>
        </w:trPr>
        <w:tc>
          <w:tcPr>
            <w:tcW w:w="116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85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PC1</w:t>
            </w:r>
          </w:p>
        </w:tc>
        <w:tc>
          <w:tcPr>
            <w:tcW w:w="267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PC2</w:t>
            </w:r>
          </w:p>
        </w:tc>
        <w:tc>
          <w:tcPr>
            <w:tcW w:w="267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PC3</w:t>
            </w:r>
          </w:p>
        </w:tc>
      </w:tr>
      <w:tr>
        <w:trPr/>
        <w:tc>
          <w:tcPr>
            <w:tcW w:w="1160" w:type="dxa"/>
            <w:tcBorders/>
            <w:shd w:fill="auto" w:val="clear"/>
          </w:tcPr>
          <w:p>
            <w:pPr>
              <w:pStyle w:val="Tabel"/>
              <w:jc w:val="start"/>
              <w:rPr>
                <w:spacing w:val="-20"/>
              </w:rPr>
            </w:pPr>
            <w:r>
              <w:rPr>
                <w:spacing w:val="-20"/>
              </w:rPr>
              <w:t>AZRbe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(0.297, -0.885, -0.358)</w:t>
            </w:r>
          </w:p>
        </w:tc>
        <w:tc>
          <w:tcPr>
            <w:tcW w:w="2670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(0.709, -0.046, 0.703)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(0.639, 0.463, -0.614)</w:t>
            </w:r>
          </w:p>
        </w:tc>
      </w:tr>
      <w:tr>
        <w:trPr/>
        <w:tc>
          <w:tcPr>
            <w:tcW w:w="1160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>
                <w:spacing w:val="-20"/>
              </w:rPr>
              <w:t>OLVGbe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(-0.039, -0.777, -0.628)</w:t>
            </w:r>
          </w:p>
        </w:tc>
        <w:tc>
          <w:tcPr>
            <w:tcW w:w="2670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(0.742, -0.444, 0.503)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(0.669, 0.446, -0.594)</w:t>
            </w:r>
          </w:p>
        </w:tc>
      </w:tr>
      <w:tr>
        <w:trPr/>
        <w:tc>
          <w:tcPr>
            <w:tcW w:w="1160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>
                <w:spacing w:val="-20"/>
              </w:rPr>
              <w:t>OLVGab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(0.044, 0.686, 0.727)</w:t>
            </w:r>
          </w:p>
        </w:tc>
        <w:tc>
          <w:tcPr>
            <w:tcW w:w="2670" w:type="dxa"/>
            <w:tcBorders/>
            <w:shd w:fill="auto" w:val="clear"/>
          </w:tcPr>
          <w:p>
            <w:pPr>
              <w:pStyle w:val="Tabel"/>
              <w:rPr>
                <w:spacing w:val="-6"/>
              </w:rPr>
            </w:pPr>
            <w:r>
              <w:rPr>
                <w:spacing w:val="-6"/>
              </w:rPr>
              <w:t>(-0.839, 0.420, -0.346)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(0.542, 0.594, -0.594)</w:t>
            </w:r>
          </w:p>
        </w:tc>
      </w:tr>
      <w:tr>
        <w:trPr/>
        <w:tc>
          <w:tcPr>
            <w:tcW w:w="1160" w:type="dxa"/>
            <w:tcBorders/>
            <w:shd w:fill="auto" w:val="clear"/>
          </w:tcPr>
          <w:p>
            <w:pPr>
              <w:pStyle w:val="Tabel"/>
              <w:jc w:val="start"/>
              <w:rPr>
                <w:spacing w:val="-20"/>
              </w:rPr>
            </w:pPr>
            <w:r>
              <w:rPr>
                <w:spacing w:val="-20"/>
              </w:rPr>
              <w:t>SKZbe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(0.635, -0.757, 0.153)</w:t>
            </w:r>
          </w:p>
        </w:tc>
        <w:tc>
          <w:tcPr>
            <w:tcW w:w="2670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(0.425, 0.508, 0.749)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(0.645, 0.411, -0.649)</w:t>
            </w:r>
          </w:p>
        </w:tc>
      </w:tr>
      <w:tr>
        <w:trPr/>
        <w:tc>
          <w:tcPr>
            <w:tcW w:w="1160" w:type="dxa"/>
            <w:tcBorders/>
            <w:shd w:fill="auto" w:val="clear"/>
          </w:tcPr>
          <w:p>
            <w:pPr>
              <w:pStyle w:val="Tabel"/>
              <w:jc w:val="start"/>
              <w:rPr>
                <w:spacing w:val="-20"/>
              </w:rPr>
            </w:pPr>
            <w:r>
              <w:rPr>
                <w:spacing w:val="-20"/>
              </w:rPr>
              <w:t>ELIbe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(0.732, -0.184, 0.656)</w:t>
            </w:r>
          </w:p>
        </w:tc>
        <w:tc>
          <w:tcPr>
            <w:tcW w:w="2670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(-0.184, 0.874, 0.450)</w:t>
            </w:r>
          </w:p>
        </w:tc>
        <w:tc>
          <w:tcPr>
            <w:tcW w:w="2675" w:type="dxa"/>
            <w:tcBorders/>
            <w:shd w:fill="auto" w:val="clear"/>
          </w:tcPr>
          <w:p>
            <w:pPr>
              <w:pStyle w:val="Tabel"/>
              <w:rPr/>
            </w:pPr>
            <w:r>
              <w:rPr/>
              <w:t>(0.656, 0.450, -0.605)</w:t>
            </w:r>
          </w:p>
        </w:tc>
      </w:tr>
      <w:tr>
        <w:trPr/>
        <w:tc>
          <w:tcPr>
            <w:tcW w:w="1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start"/>
              <w:rPr>
                <w:spacing w:val="-20"/>
              </w:rPr>
            </w:pPr>
            <w:r>
              <w:rPr>
                <w:spacing w:val="-20"/>
              </w:rPr>
              <w:t>ELIab</w:t>
            </w:r>
          </w:p>
        </w:tc>
        <w:tc>
          <w:tcPr>
            <w:tcW w:w="285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(0.734, -0.012, 0.679)</w:t>
            </w:r>
          </w:p>
        </w:tc>
        <w:tc>
          <w:tcPr>
            <w:tcW w:w="267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(-0.391, 0.811, 0.436)</w:t>
            </w:r>
          </w:p>
        </w:tc>
        <w:tc>
          <w:tcPr>
            <w:tcW w:w="267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(0.556, 0.585, -0.590)</w:t>
            </w:r>
          </w:p>
        </w:tc>
      </w:tr>
    </w:tbl>
    <w:p>
      <w:pPr>
        <w:pStyle w:val="Tabe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able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2" w:name="__Fieldmark__10_3525595943"/>
      <w:r>
        <w:rPr>
          <w:lang w:val="en-US"/>
        </w:rPr>
        <w:t>2</w:t>
      </w:r>
      <w:r>
        <w:rPr>
          <w:lang w:val="en-US"/>
        </w:rPr>
      </w:r>
      <w:r>
        <w:rPr/>
        <w:fldChar w:fldCharType="end"/>
      </w:r>
      <w:bookmarkEnd w:id="2"/>
      <w:r>
        <w:rPr/>
        <w:t>–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. Eigenvalues </w:t>
      </w:r>
      <w:r>
        <w:rPr>
          <w:rFonts w:eastAsia="Symbol" w:cs="Symbol" w:ascii="Symbol" w:hAnsi="Symbol"/>
        </w:rPr>
        <w:t></w:t>
      </w:r>
      <w:r>
        <w:rPr/>
        <w:t xml:space="preserve"> and contributions to the total variance in the initial data set (in brackets) for each principal component.</w:t>
      </w:r>
    </w:p>
    <w:tbl>
      <w:tblPr>
        <w:tblW w:w="9356" w:type="dxa"/>
        <w:jc w:val="star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2339"/>
        <w:gridCol w:w="2339"/>
        <w:gridCol w:w="2339"/>
        <w:gridCol w:w="2339"/>
      </w:tblGrid>
      <w:tr>
        <w:trPr>
          <w:tblHeader w:val="true"/>
        </w:trPr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snapToGrid w:val="false"/>
              <w:jc w:val="star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PC1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PC2</w:t>
            </w:r>
          </w:p>
        </w:tc>
        <w:tc>
          <w:tcPr>
            <w:tcW w:w="233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rPr/>
            </w:pPr>
            <w:r>
              <w:rPr/>
              <w:t>PC3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AZRbe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start"/>
              <w:rPr/>
            </w:pPr>
            <w:r>
              <w:rPr/>
              <w:t>20.54 (62.37%)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start"/>
              <w:rPr/>
            </w:pPr>
            <w:r>
              <w:rPr/>
              <w:t>12.16 (36.91%)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start"/>
              <w:rPr/>
            </w:pPr>
            <w:r>
              <w:rPr/>
              <w:t>0.235 (0.71%)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OLVGbe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start"/>
              <w:rPr/>
            </w:pPr>
            <w:r>
              <w:rPr/>
              <w:t>26.04 (69.70%)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start"/>
              <w:rPr/>
            </w:pPr>
            <w:r>
              <w:rPr/>
              <w:t>11.22 (30.03%)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start"/>
              <w:rPr/>
            </w:pPr>
            <w:r>
              <w:rPr/>
              <w:t>0.101 (0.27%)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OLVGab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start"/>
              <w:rPr/>
            </w:pPr>
            <w:r>
              <w:rPr/>
              <w:t>25.52 (74.30%)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start"/>
              <w:rPr/>
            </w:pPr>
            <w:r>
              <w:rPr/>
              <w:t>8.82 (25.67%)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start"/>
              <w:rPr/>
            </w:pPr>
            <w:r>
              <w:rPr/>
              <w:t>0.009 (0.03%)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SKZbe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start"/>
              <w:rPr/>
            </w:pPr>
            <w:r>
              <w:rPr/>
              <w:t>21.09 (78.01%)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start"/>
              <w:rPr/>
            </w:pPr>
            <w:r>
              <w:rPr/>
              <w:t>5.87 (21.72%)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start"/>
              <w:rPr/>
            </w:pPr>
            <w:r>
              <w:rPr/>
              <w:t>0.072 (0.27%)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ELIbe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start"/>
              <w:rPr/>
            </w:pPr>
            <w:r>
              <w:rPr/>
              <w:t>23.62 (64.55%)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start"/>
              <w:rPr/>
            </w:pPr>
            <w:r>
              <w:rPr/>
              <w:t>12.83 (35.07%)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start"/>
              <w:rPr/>
            </w:pPr>
            <w:r>
              <w:rPr/>
              <w:t>0.137 (0.37%)</w:t>
            </w:r>
          </w:p>
        </w:tc>
      </w:tr>
      <w:tr>
        <w:trPr/>
        <w:tc>
          <w:tcPr>
            <w:tcW w:w="233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jc w:val="start"/>
              <w:rPr/>
            </w:pPr>
            <w:r>
              <w:rPr/>
              <w:t>ELIab</w:t>
            </w:r>
          </w:p>
        </w:tc>
        <w:tc>
          <w:tcPr>
            <w:tcW w:w="233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88" w:leader="none"/>
              </w:tabs>
              <w:jc w:val="start"/>
              <w:rPr/>
            </w:pPr>
            <w:r>
              <w:rPr/>
              <w:t>20.36 (58.91%)</w:t>
            </w:r>
          </w:p>
        </w:tc>
        <w:tc>
          <w:tcPr>
            <w:tcW w:w="233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497" w:leader="none"/>
              </w:tabs>
              <w:jc w:val="start"/>
              <w:rPr/>
            </w:pPr>
            <w:r>
              <w:rPr/>
              <w:t>14.17 (41.00%)</w:t>
            </w:r>
          </w:p>
        </w:tc>
        <w:tc>
          <w:tcPr>
            <w:tcW w:w="233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el"/>
              <w:tabs>
                <w:tab w:val="decimal" w:pos="518" w:leader="none"/>
              </w:tabs>
              <w:jc w:val="start"/>
              <w:rPr/>
            </w:pPr>
            <w:r>
              <w:rPr/>
              <w:t>0.032 (0.09%)</w:t>
            </w:r>
          </w:p>
        </w:tc>
      </w:tr>
    </w:tbl>
    <w:p>
      <w:pPr>
        <w:pStyle w:val="Notebijtabel"/>
        <w:spacing w:before="0" w:after="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nimals">
    <w:charset w:val="02"/>
    <w:family w:val="swiss"/>
    <w:pitch w:val="variable"/>
  </w:font>
</w:fonts>
</file>

<file path=word/settings.xml><?xml version="1.0" encoding="utf-8"?>
<w:settings xmlns:w="http://schemas.openxmlformats.org/wordprocessingml/2006/main">
  <w:zoom w:percent="17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el">
    <w:name w:val="Tabel"/>
    <w:basedOn w:val="Normal"/>
    <w:qFormat/>
    <w:pPr>
      <w:jc w:val="center"/>
    </w:pPr>
    <w:rPr/>
  </w:style>
  <w:style w:type="paragraph" w:styleId="Notebijtabel">
    <w:name w:val="Note bij tabel"/>
    <w:basedOn w:val="Normal"/>
    <w:qFormat/>
    <w:pPr>
      <w:spacing w:lineRule="exact" w:line="240" w:before="0" w:after="60"/>
      <w:jc w:val="start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303</Words>
  <Characters>1494</Characters>
  <CharactersWithSpaces>1707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2019-12-23T13:37:10Z</dcterms:created>
  <dc:creator/>
  <dc:description/>
  <dc:language>en-US</dc:language>
  <cp:lastModifiedBy/>
  <dcterms:modified xsi:type="dcterms:W3CDTF">2019-12-23T13:45:24Z</dcterms:modified>
  <cp:revision>2</cp:revision>
  <dc:subject/>
  <dc:title/>
</cp:coreProperties>
</file>