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0" w:name="__Fieldmark__2_2268728303"/>
      <w:r>
        <w:rPr/>
      </w:r>
      <w:r>
        <w:rPr>
          <w:lang w:val="en-US"/>
        </w:rPr>
        <w:t>2</w:t>
      </w:r>
      <w:bookmarkStart w:id="1" w:name="__Fieldmark__5_3525595943"/>
      <w:r>
        <w:rPr/>
      </w:r>
      <w:r>
        <w:rPr/>
        <w:fldChar w:fldCharType="end"/>
      </w:r>
      <w:bookmarkEnd w:id="0"/>
      <w:bookmarkEnd w:id="1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Means (m) and standard deviations (s) as derived from the standard 95% reference intervals for the arterial acid-base variables. The standard deviations are calculated by assuming the 95% reference intervals to be 4 standard deviations wide.</w:t>
      </w:r>
    </w:p>
    <w:tbl>
      <w:tblPr>
        <w:tblW w:w="9356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217"/>
        <w:gridCol w:w="1894"/>
        <w:gridCol w:w="2693"/>
      </w:tblGrid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left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95 % reference interval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i/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i/>
                <w:i/>
              </w:rPr>
            </w:pPr>
            <w:r>
              <w:rPr>
                <w:i/>
              </w:rPr>
              <w:t>s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pH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7.35 – 7.45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7.40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0.025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PaCO</w:t>
            </w:r>
            <w:r>
              <w:rPr>
                <w:vertAlign w:val="subscript"/>
              </w:rPr>
              <w:t>2</w:t>
            </w:r>
            <w:r>
              <w:rPr/>
              <w:t xml:space="preserve"> (mmHg)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35 – 45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40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2.5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PaCO</w:t>
            </w:r>
            <w:r>
              <w:rPr>
                <w:vertAlign w:val="subscript"/>
              </w:rPr>
              <w:t>2</w:t>
            </w:r>
            <w:r>
              <w:rPr/>
              <w:t xml:space="preserve"> (kPa)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4.7 – 6.0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5.33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0.325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BE (mmol/l)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-3 – 3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0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1.5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a[</w:t>
            </w:r>
            <w:r>
              <w:rPr/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HCO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</m:sup>
              </m:sSubSup>
            </m:oMath>
            <w:r>
              <w:rPr/>
              <w:t>] (mmol/l)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21 – 27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24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1.5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log PaCO</w:t>
            </w:r>
            <w:r>
              <w:rPr>
                <w:vertAlign w:val="subscript"/>
              </w:rPr>
              <w:t>2</w:t>
            </w:r>
            <w:r>
              <w:rPr/>
              <w:t xml:space="preserve"> (mmHg)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35 – log 40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40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(log 35 – log 40) / 4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log PaCO</w:t>
            </w:r>
            <w:r>
              <w:rPr>
                <w:vertAlign w:val="subscript"/>
              </w:rPr>
              <w:t>2</w:t>
            </w:r>
            <w:r>
              <w:rPr/>
              <w:t xml:space="preserve"> (kPa)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4.7 – log 6.0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5.33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(log 4.7 – log 6.0) / 4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log a[</w:t>
            </w:r>
            <w:r>
              <w:rPr/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HCO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</m:sup>
              </m:sSubSup>
            </m:oMath>
            <w:r>
              <w:rPr/>
              <w:t>]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21 – log 27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24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(log 21 – log 27) / 4</w:t>
            </w:r>
          </w:p>
        </w:tc>
      </w:tr>
    </w:tbl>
    <w:p>
      <w:pPr>
        <w:pStyle w:val="Tabel"/>
        <w:rPr/>
      </w:pPr>
      <w:r>
        <w:rPr/>
      </w:r>
    </w:p>
    <w:p>
      <w:pPr>
        <w:pStyle w:val="Tabe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2" w:name="__Fieldmark__133_2268728303"/>
      <w:r>
        <w:rPr/>
      </w:r>
      <w:r>
        <w:rPr>
          <w:lang w:val="en-US"/>
        </w:rPr>
        <w:t>2</w:t>
      </w:r>
      <w:bookmarkStart w:id="3" w:name="__Fieldmark__12_3525595943"/>
      <w:r>
        <w:rPr/>
      </w:r>
      <w:r>
        <w:rPr/>
        <w:fldChar w:fldCharType="end"/>
      </w:r>
      <w:bookmarkEnd w:id="2"/>
      <w:bookmarkEnd w:id="3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. Normalised eigenvectors </w:t>
      </w:r>
      <w:r>
        <w:rPr>
          <w:rFonts w:eastAsia="Symbol" w:cs="Symbol" w:ascii="Symbol" w:hAnsi="Symbol"/>
        </w:rPr>
        <w:t></w:t>
      </w:r>
      <w:r>
        <w:rPr/>
        <w:t xml:space="preserve"> of each principal component as obtained after PCA. The eigenvectors for PC1, PC2 and PC3 are columns 1, 2 and 3, respectively of the eigenmatrix matrix U. The eigenmatrix U will be the input of calculations to be presented in the next chapters.</w:t>
      </w:r>
    </w:p>
    <w:tbl>
      <w:tblPr>
        <w:tblW w:w="9356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850"/>
        <w:gridCol w:w="2671"/>
        <w:gridCol w:w="2674"/>
      </w:tblGrid>
      <w:tr>
        <w:trPr>
          <w:tblHeader w:val="true"/>
        </w:trPr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left"/>
              <w:rPr/>
            </w:pPr>
            <w:r>
              <w:rPr/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PC1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PC2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PC3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>
                <w:spacing w:val="-20"/>
              </w:rPr>
            </w:pPr>
            <w:r>
              <w:rPr>
                <w:spacing w:val="-20"/>
              </w:rPr>
              <w:t>AZRbe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(0.297, -0.885, -0.358)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(0.709, -0.046, 0.703)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(0.639, 0.463, -0.614)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>
                <w:spacing w:val="-20"/>
              </w:rPr>
              <w:t>OLVGbe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(-0.039, -0.777, -0.628)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(0.742, -0.444, 0.503)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(0.669, 0.446, -0.594)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>
                <w:spacing w:val="-20"/>
              </w:rPr>
              <w:t>OLVGab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(0.044, 0.686, 0.727)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spacing w:val="-6"/>
              </w:rPr>
            </w:pPr>
            <w:r>
              <w:rPr>
                <w:spacing w:val="-6"/>
              </w:rPr>
              <w:t>(-0.839, 0.420, -0.346)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(0.542, 0.594, -0.594)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>
                <w:spacing w:val="-20"/>
              </w:rPr>
            </w:pPr>
            <w:r>
              <w:rPr>
                <w:spacing w:val="-20"/>
              </w:rPr>
              <w:t>SKZbe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(0.635, -0.757, 0.153)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(0.425, 0.508, 0.749)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(0.645, 0.411, -0.649)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>
                <w:spacing w:val="-20"/>
              </w:rPr>
            </w:pPr>
            <w:r>
              <w:rPr>
                <w:spacing w:val="-20"/>
              </w:rPr>
              <w:t>ELIbe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(0.732, -0.184, 0.656)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(-0.184, 0.874, 0.450)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(0.656, 0.450, -0.605)</w:t>
            </w:r>
          </w:p>
        </w:tc>
      </w:tr>
      <w:tr>
        <w:trPr/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>
                <w:spacing w:val="-20"/>
              </w:rPr>
            </w:pPr>
            <w:r>
              <w:rPr>
                <w:spacing w:val="-20"/>
              </w:rPr>
              <w:t>ELIab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(0.734, -0.012, 0.679)</w:t>
            </w:r>
          </w:p>
        </w:tc>
        <w:tc>
          <w:tcPr>
            <w:tcW w:w="267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(-0.391, 0.811, 0.436)</w:t>
            </w:r>
          </w:p>
        </w:tc>
        <w:tc>
          <w:tcPr>
            <w:tcW w:w="267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(0.556, 0.585, -0.590)</w:t>
            </w:r>
          </w:p>
        </w:tc>
      </w:tr>
    </w:tbl>
    <w:p>
      <w:pPr>
        <w:pStyle w:val="Tabe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4" w:name="__Fieldmark__230_2268728303"/>
      <w:r>
        <w:rPr/>
      </w:r>
      <w:r>
        <w:rPr>
          <w:lang w:val="en-US"/>
        </w:rPr>
        <w:t>2</w:t>
      </w:r>
      <w:bookmarkStart w:id="5" w:name="__Fieldmark__10_3525595943"/>
      <w:r>
        <w:rPr/>
      </w:r>
      <w:r>
        <w:rPr/>
        <w:fldChar w:fldCharType="end"/>
      </w:r>
      <w:bookmarkEnd w:id="4"/>
      <w:bookmarkEnd w:id="5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. Eigenvalues </w:t>
      </w:r>
      <w:r>
        <w:rPr>
          <w:rFonts w:eastAsia="Symbol" w:cs="Symbol" w:ascii="Symbol" w:hAnsi="Symbol"/>
        </w:rPr>
        <w:t></w:t>
      </w:r>
      <w:r>
        <w:rPr/>
        <w:t xml:space="preserve"> and contributions to the total variance in the initial data set (in brackets) for each principal component.</w:t>
      </w:r>
    </w:p>
    <w:tbl>
      <w:tblPr>
        <w:tblW w:w="9356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  <w:gridCol w:w="2339"/>
        <w:gridCol w:w="2338"/>
      </w:tblGrid>
      <w:tr>
        <w:trPr>
          <w:tblHeader w:val="true"/>
        </w:trPr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PC1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PC2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PC3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AZRbe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20.54 (62.37%)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12.16 (36.91%)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0.235 (0.71%)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OLVGbe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26.04 (69.70%)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11.22 (30.03%)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0.101 (0.27%)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OLVGab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25.52 (74.30%)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8.82 (25.67%)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0.009 (0.03%)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SKZbe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21.09 (78.01%)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5.87 (21.72%)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0.072 (0.27%)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ELIbe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23.62 (64.55%)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12.83 (35.07%)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0.137 (0.37%)</w:t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/>
            </w:pPr>
            <w:r>
              <w:rPr/>
              <w:t>ELIab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left"/>
              <w:rPr/>
            </w:pPr>
            <w:r>
              <w:rPr/>
              <w:t>20.36 (58.91%)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left"/>
              <w:rPr/>
            </w:pPr>
            <w:r>
              <w:rPr/>
              <w:t>14.17 (41.00%)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left"/>
              <w:rPr/>
            </w:pPr>
            <w:r>
              <w:rPr/>
              <w:t>0.032 (0.09%)</w:t>
            </w:r>
          </w:p>
        </w:tc>
      </w:tr>
    </w:tbl>
    <w:p>
      <w:pPr>
        <w:pStyle w:val="Notebijtabel"/>
        <w:spacing w:before="0" w:after="60"/>
        <w:rPr/>
      </w:pPr>
      <w:r>
        <w:rPr/>
      </w:r>
    </w:p>
    <w:p>
      <w:pPr>
        <w:pStyle w:val="Notebijtabel"/>
        <w:spacing w:before="0" w:after="60"/>
        <w:rPr/>
      </w:pPr>
      <w:r>
        <w:rPr/>
      </w:r>
      <w:r>
        <w:br w:type="page"/>
      </w:r>
    </w:p>
    <w:p>
      <w:pPr>
        <w:pStyle w:val="Normal"/>
        <w:rPr/>
      </w:pPr>
      <w:r>
        <w:rPr>
          <w:color w:val="auto"/>
        </w:rPr>
        <w:t xml:space="preserve">able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6" w:name="__Fieldmark__1097_2268728303"/>
      <w:r>
        <w:rPr>
          <w:color w:val="auto"/>
        </w:rPr>
      </w:r>
      <w:r>
        <w:rPr>
          <w:color w:val="auto"/>
          <w:lang w:val="en-US"/>
        </w:rPr>
        <w:t>2</w:t>
      </w:r>
      <w:bookmarkStart w:id="7" w:name="__Fieldmark__13_1285784807"/>
      <w:r>
        <w:rPr>
          <w:color w:val="auto"/>
        </w:rPr>
      </w:r>
      <w:r>
        <w:rPr/>
        <w:fldChar w:fldCharType="end"/>
      </w:r>
      <w:bookmarkEnd w:id="6"/>
      <w:bookmarkEnd w:id="7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color w:val="auto"/>
        </w:rPr>
        <w:t>. Characteristics (m is mean and s is the standard deviation) of the principal component value distributions.</w:t>
      </w:r>
    </w:p>
    <w:tbl>
      <w:tblPr>
        <w:tblW w:w="9356" w:type="dxa"/>
        <w:jc w:val="left"/>
        <w:tblInd w:w="0" w:type="dxa"/>
        <w:tblBorders>
          <w:top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37"/>
        <w:gridCol w:w="1336"/>
        <w:gridCol w:w="1337"/>
        <w:gridCol w:w="1336"/>
        <w:gridCol w:w="1337"/>
        <w:gridCol w:w="1336"/>
      </w:tblGrid>
      <w:tr>
        <w:trPr>
          <w:tblHeader w:val="true"/>
        </w:trPr>
        <w:tc>
          <w:tcPr>
            <w:tcW w:w="1336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673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color w:val="auto"/>
              </w:rPr>
              <w:t>PC1</w:t>
            </w:r>
          </w:p>
        </w:tc>
        <w:tc>
          <w:tcPr>
            <w:tcW w:w="2673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color w:val="auto"/>
              </w:rPr>
              <w:t>PC2</w:t>
            </w:r>
          </w:p>
        </w:tc>
        <w:tc>
          <w:tcPr>
            <w:tcW w:w="2673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color w:val="auto"/>
              </w:rPr>
              <w:t>PC3</w:t>
            </w:r>
          </w:p>
        </w:tc>
      </w:tr>
      <w:tr>
        <w:trPr/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m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s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m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s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m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color w:val="auto"/>
              </w:rPr>
            </w:pPr>
            <w:r>
              <w:rPr>
                <w:i/>
                <w:color w:val="auto"/>
              </w:rPr>
              <w:t>s</w:t>
            </w:r>
          </w:p>
        </w:tc>
      </w:tr>
      <w:tr>
        <w:trPr/>
        <w:tc>
          <w:tcPr>
            <w:tcW w:w="1336" w:type="dxa"/>
            <w:tcBorders/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AZRbe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1.282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4.532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0.695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3.487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0.177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0.485</w:t>
            </w:r>
          </w:p>
        </w:tc>
      </w:tr>
      <w:tr>
        <w:trPr/>
        <w:tc>
          <w:tcPr>
            <w:tcW w:w="1336" w:type="dxa"/>
            <w:tcBorders/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OLVGbe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-0.773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5.103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-0.315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3.349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-0.215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0.317</w:t>
            </w:r>
          </w:p>
        </w:tc>
      </w:tr>
      <w:tr>
        <w:trPr/>
        <w:tc>
          <w:tcPr>
            <w:tcW w:w="1336" w:type="dxa"/>
            <w:tcBorders/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OLVGab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0.357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5.052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0.250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2.969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-0.282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0.097</w:t>
            </w:r>
          </w:p>
        </w:tc>
      </w:tr>
      <w:tr>
        <w:trPr/>
        <w:tc>
          <w:tcPr>
            <w:tcW w:w="1336" w:type="dxa"/>
            <w:tcBorders/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SKZbe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-3.358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4.593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-2.676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2.423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-0.109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0.268</w:t>
            </w:r>
          </w:p>
        </w:tc>
      </w:tr>
      <w:tr>
        <w:trPr/>
        <w:tc>
          <w:tcPr>
            <w:tcW w:w="1336" w:type="dxa"/>
            <w:tcBorders/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ELIbe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-1.025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4.860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0.062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3.582</w:t>
            </w:r>
          </w:p>
        </w:tc>
        <w:tc>
          <w:tcPr>
            <w:tcW w:w="1337" w:type="dxa"/>
            <w:tcBorders/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-0.005</w:t>
            </w:r>
          </w:p>
        </w:tc>
        <w:tc>
          <w:tcPr>
            <w:tcW w:w="1336" w:type="dxa"/>
            <w:tcBorders/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0.370</w:t>
            </w:r>
          </w:p>
        </w:tc>
      </w:tr>
      <w:tr>
        <w:trPr/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left"/>
              <w:rPr>
                <w:color w:val="auto"/>
              </w:rPr>
            </w:pPr>
            <w:r>
              <w:rPr>
                <w:color w:val="auto"/>
              </w:rPr>
              <w:t>ELIab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0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-1.008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378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4.513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11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-0.038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1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3.765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366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-0.071</w:t>
            </w:r>
          </w:p>
        </w:tc>
        <w:tc>
          <w:tcPr>
            <w:tcW w:w="133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343" w:leader="none"/>
              </w:tabs>
              <w:jc w:val="left"/>
              <w:rPr>
                <w:color w:val="auto"/>
              </w:rPr>
            </w:pPr>
            <w:r>
              <w:rPr>
                <w:color w:val="auto"/>
              </w:rPr>
              <w:t>0.178</w:t>
            </w:r>
          </w:p>
        </w:tc>
      </w:tr>
    </w:tbl>
    <w:p>
      <w:pPr>
        <w:pStyle w:val="Tabel"/>
        <w:spacing w:before="0" w:after="60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el">
    <w:name w:val="Tabel"/>
    <w:basedOn w:val="Normal"/>
    <w:qFormat/>
    <w:pPr>
      <w:jc w:val="center"/>
    </w:pPr>
    <w:rPr/>
  </w:style>
  <w:style w:type="paragraph" w:styleId="Notebijtabel">
    <w:name w:val="Note bij tabel"/>
    <w:basedOn w:val="Normal"/>
    <w:qFormat/>
    <w:pPr>
      <w:spacing w:lineRule="exact" w:line="240" w:before="0" w:after="60"/>
      <w:jc w:val="left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375</Words>
  <Characters>1835</Characters>
  <CharactersWithSpaces>2065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2019-12-23T13:37:10Z</dcterms:created>
  <dc:creator/>
  <dc:description/>
  <dc:language>en-US</dc:language>
  <cp:lastModifiedBy/>
  <dcterms:modified xsi:type="dcterms:W3CDTF">2020-01-11T13:05:19Z</dcterms:modified>
  <cp:revision>3</cp:revision>
  <dc:subject/>
  <dc:title/>
</cp:coreProperties>
</file>