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eurs"/>
        <w:rPr/>
      </w:pPr>
      <w:r>
        <w:rPr>
          <w:rStyle w:val="Buffer"/>
          <w:color w:val="auto"/>
        </w:rPr>
        <w:t>M</w:t>
      </w:r>
      <w:r>
        <w:rPr>
          <w:color w:val="auto"/>
        </w:rPr>
        <w:t xml:space="preserve">arcel Hekking, Edzard S. Gelsema, Jan Lindemans </w:t>
      </w:r>
    </w:p>
    <w:p>
      <w:pPr>
        <w:pStyle w:val="Auteurs"/>
        <w:rPr>
          <w:color w:val="auto"/>
        </w:rPr>
      </w:pPr>
      <w:r>
        <w:rPr/>
      </w:r>
    </w:p>
    <w:p>
      <w:pPr>
        <w:pStyle w:val="Auteurs"/>
        <w:rPr>
          <w:color w:val="auto"/>
        </w:rPr>
      </w:pPr>
      <w:r>
        <w:rPr/>
      </w:r>
    </w:p>
    <w:p>
      <w:pPr>
        <w:pStyle w:val="Tijdschrift"/>
        <w:rPr/>
      </w:pPr>
      <w:r>
        <w:rPr>
          <w:rStyle w:val="Buffer"/>
          <w:color w:val="auto"/>
        </w:rPr>
        <w:t>P</w:t>
      </w:r>
      <w:r>
        <w:rPr>
          <w:color w:val="auto"/>
        </w:rPr>
        <w:t>arts are published in: International Journal of Bio-Medical Computing 1994; 209 –221</w:t>
      </w:r>
    </w:p>
    <w:p>
      <w:pPr>
        <w:pStyle w:val="Tijdschrift"/>
        <w:rPr>
          <w:color w:val="auto"/>
        </w:rPr>
      </w:pPr>
      <w:r>
        <w:rPr/>
      </w:r>
    </w:p>
    <w:p>
      <w:pPr>
        <w:pStyle w:val="Tijdschrift"/>
        <w:rPr>
          <w:color w:val="auto"/>
        </w:rPr>
      </w:pPr>
      <w:r>
        <w:rPr/>
      </w:r>
    </w:p>
    <w:p>
      <w:pPr>
        <w:pStyle w:val="Tijdschrift"/>
        <w:rPr>
          <w:color w:val="auto"/>
        </w:rPr>
      </w:pPr>
      <w:r>
        <w:rPr/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/>
      </w:pPr>
      <w:bookmarkStart w:id="0" w:name="_Ref423145310"/>
      <w:r>
        <w:rPr>
          <w:rStyle w:val="Buffer"/>
          <w:color w:val="auto"/>
        </w:rPr>
        <w:t>F</w:t>
      </w:r>
      <w:r>
        <w:rPr>
          <w:color w:val="auto"/>
        </w:rPr>
        <w:t xml:space="preserve">igure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1" w:name="__Fieldmark__138_1799712965"/>
      <w:r>
        <w:rPr>
          <w:color w:val="auto"/>
        </w:rPr>
      </w:r>
      <w:r>
        <w:rPr>
          <w:color w:val="auto"/>
          <w:lang w:val="en-US"/>
        </w:rPr>
        <w:t>3</w:t>
      </w:r>
      <w:bookmarkStart w:id="2" w:name="__Fieldmark__7_3063856971"/>
      <w:r>
        <w:rPr>
          <w:color w:val="auto"/>
        </w:rPr>
      </w:r>
      <w:r>
        <w:rPr/>
        <w:fldChar w:fldCharType="end"/>
      </w:r>
      <w:bookmarkEnd w:id="1"/>
      <w:bookmarkEnd w:id="2"/>
      <w:r>
        <w:rPr>
          <w:color w:val="auto"/>
        </w:rPr>
        <w:t>–</w:t>
      </w:r>
      <w:r>
        <w:rPr>
          <w:color w:val="auto"/>
        </w:rPr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0"/>
      <w:r>
        <w:rPr>
          <w:color w:val="auto"/>
        </w:rPr>
        <w:t xml:space="preserve">. Original acid-base axes, projected on the PC1-PC2 subspaces for data sets </w:t>
      </w:r>
      <w:r>
        <w:rPr>
          <w:rStyle w:val="Nietafbreken"/>
          <w:color w:val="auto"/>
        </w:rPr>
        <w:t>AZRbe</w:t>
      </w:r>
      <w:r>
        <w:rPr>
          <w:color w:val="auto"/>
        </w:rPr>
        <w:t xml:space="preserve"> (left) and </w:t>
      </w:r>
      <w:r>
        <w:rPr>
          <w:rStyle w:val="Nietafbreken"/>
          <w:color w:val="auto"/>
        </w:rPr>
        <w:t>OLVGbe</w:t>
      </w:r>
      <w:r>
        <w:rPr>
          <w:color w:val="auto"/>
        </w:rPr>
        <w:t xml:space="preserve"> (right). The placement of the original acid-base axes is different as a result of different covariances in the original distributions.</w:t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>
          <w:color w:val="auto"/>
        </w:rPr>
      </w:pPr>
      <w:r>
        <w:rPr/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/>
      </w:pPr>
      <w:bookmarkStart w:id="3" w:name="_Ref423145344"/>
      <w:r>
        <w:rPr>
          <w:rStyle w:val="Buffer"/>
          <w:color w:val="auto"/>
        </w:rPr>
        <w:t>F</w:t>
      </w:r>
      <w:r>
        <w:rPr>
          <w:color w:val="auto"/>
        </w:rPr>
        <w:t xml:space="preserve">igure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4" w:name="__Fieldmark__184_1799712965"/>
      <w:r>
        <w:rPr>
          <w:color w:val="auto"/>
        </w:rPr>
      </w:r>
      <w:r>
        <w:rPr>
          <w:color w:val="auto"/>
          <w:lang w:val="en-US"/>
        </w:rPr>
        <w:t>3</w:t>
      </w:r>
      <w:bookmarkStart w:id="5" w:name="__Fieldmark__9_3063856971"/>
      <w:r>
        <w:rPr>
          <w:color w:val="auto"/>
        </w:rPr>
      </w:r>
      <w:r>
        <w:rPr/>
        <w:fldChar w:fldCharType="end"/>
      </w:r>
      <w:bookmarkEnd w:id="4"/>
      <w:bookmarkEnd w:id="5"/>
      <w:r>
        <w:rPr>
          <w:color w:val="auto"/>
        </w:rPr>
        <w:t>–</w:t>
      </w:r>
      <w:r>
        <w:rPr>
          <w:color w:val="auto"/>
        </w:rPr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3"/>
      <w:r>
        <w:rPr>
          <w:color w:val="auto"/>
        </w:rPr>
        <w:t xml:space="preserve">. The angle </w:t>
      </w:r>
      <w:r>
        <w:rPr>
          <w:rFonts w:eastAsia="Symbol" w:cs="Symbol" w:ascii="Symbol" w:hAnsi="Symbol"/>
          <w:color w:val="auto"/>
        </w:rPr>
        <w:t></w:t>
      </w:r>
      <w:r>
        <w:rPr>
          <w:color w:val="auto"/>
        </w:rPr>
        <w:t xml:space="preserve"> between the projected original pH-axis and the PC1-axis in the PC1-PC2 subspace of data set </w:t>
      </w:r>
      <w:r>
        <w:rPr>
          <w:rStyle w:val="Nietafbreken"/>
          <w:color w:val="auto"/>
        </w:rPr>
        <w:t>AZRbe</w:t>
      </w:r>
      <w:r>
        <w:rPr>
          <w:color w:val="auto"/>
        </w:rPr>
        <w:t>.</w:t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>
          <w:color w:val="auto"/>
        </w:rPr>
      </w:pPr>
      <w:r>
        <w:rPr/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/>
      </w:pPr>
      <w:bookmarkStart w:id="6" w:name="_Ref423145643"/>
      <w:r>
        <w:rPr>
          <w:rStyle w:val="Buffer"/>
          <w:color w:val="auto"/>
        </w:rPr>
        <w:t>F</w:t>
      </w:r>
      <w:r>
        <w:rPr>
          <w:color w:val="auto"/>
        </w:rPr>
        <w:t xml:space="preserve">igure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7" w:name="__Fieldmark__284_1799712965"/>
      <w:r>
        <w:rPr>
          <w:color w:val="auto"/>
        </w:rPr>
      </w:r>
      <w:r>
        <w:rPr>
          <w:color w:val="auto"/>
          <w:lang w:val="en-US"/>
        </w:rPr>
        <w:t>3</w:t>
      </w:r>
      <w:bookmarkStart w:id="8" w:name="__Fieldmark__12_3063856971"/>
      <w:r>
        <w:rPr>
          <w:color w:val="auto"/>
        </w:rPr>
      </w:r>
      <w:r>
        <w:rPr/>
        <w:fldChar w:fldCharType="end"/>
      </w:r>
      <w:bookmarkEnd w:id="7"/>
      <w:bookmarkEnd w:id="8"/>
      <w:r>
        <w:rPr>
          <w:color w:val="auto"/>
        </w:rPr>
        <w:t>–</w:t>
      </w:r>
      <w:r>
        <w:rPr>
          <w:color w:val="auto"/>
        </w:rPr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6"/>
      <w:r>
        <w:rPr>
          <w:color w:val="auto"/>
        </w:rPr>
        <w:t>. Intersection of a PC1-PC2 subspace with a 95% univariate reference cube. Arrows point into the direction of increasing values.</w:t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>
          <w:color w:val="auto"/>
        </w:rPr>
      </w:pPr>
      <w:r>
        <w:rPr/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/>
      </w:pPr>
      <w:bookmarkStart w:id="9" w:name="_Ref423145443"/>
      <w:r>
        <w:rPr>
          <w:rStyle w:val="Buffer"/>
          <w:color w:val="auto"/>
        </w:rPr>
        <w:t>F</w:t>
      </w:r>
      <w:r>
        <w:rPr>
          <w:color w:val="auto"/>
        </w:rPr>
        <w:t xml:space="preserve">igure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10" w:name="__Fieldmark__336_1799712965"/>
      <w:r>
        <w:rPr>
          <w:color w:val="auto"/>
        </w:rPr>
      </w:r>
      <w:r>
        <w:rPr>
          <w:color w:val="auto"/>
          <w:lang w:val="en-US"/>
        </w:rPr>
        <w:t>3</w:t>
      </w:r>
      <w:bookmarkStart w:id="11" w:name="__Fieldmark__14_3063856971"/>
      <w:r>
        <w:rPr>
          <w:color w:val="auto"/>
        </w:rPr>
      </w:r>
      <w:r>
        <w:rPr/>
        <w:fldChar w:fldCharType="end"/>
      </w:r>
      <w:bookmarkEnd w:id="10"/>
      <w:bookmarkEnd w:id="11"/>
      <w:r>
        <w:rPr>
          <w:color w:val="auto"/>
        </w:rPr>
        <w:t>–</w:t>
      </w:r>
      <w:r>
        <w:rPr>
          <w:color w:val="auto"/>
        </w:rPr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9"/>
      <w:r>
        <w:rPr>
          <w:color w:val="auto"/>
        </w:rPr>
        <w:t>. The proposed chart for pH, PaCO</w:t>
      </w:r>
      <w:r>
        <w:rPr>
          <w:color w:val="auto"/>
          <w:vertAlign w:val="subscript"/>
        </w:rPr>
        <w:t xml:space="preserve">2 </w:t>
      </w:r>
      <w:r>
        <w:rPr>
          <w:color w:val="auto"/>
        </w:rPr>
        <w:t>and a[</w:t>
      </w:r>
      <w:r>
        <w:rPr>
          <w:color w:val="auto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HCO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color w:val="auto"/>
        </w:rPr>
        <w:t xml:space="preserve">], as built from the data in the </w:t>
      </w:r>
      <w:r>
        <w:rPr>
          <w:rStyle w:val="Nietafbreken"/>
          <w:color w:val="auto"/>
        </w:rPr>
        <w:t>ELIab</w:t>
      </w:r>
      <w:r>
        <w:rPr>
          <w:color w:val="auto"/>
        </w:rPr>
        <w:t xml:space="preserve"> data set.</w:t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>
          <w:color w:val="auto"/>
        </w:rPr>
      </w:pPr>
      <w:r>
        <w:rPr/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/>
      </w:pPr>
      <w:bookmarkStart w:id="12" w:name="_Ref423145488"/>
      <w:r>
        <w:rPr>
          <w:rStyle w:val="Buffer"/>
          <w:color w:val="auto"/>
        </w:rPr>
        <w:t>F</w:t>
      </w:r>
      <w:r>
        <w:rPr>
          <w:color w:val="auto"/>
        </w:rPr>
        <w:t xml:space="preserve">igure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13" w:name="__Fieldmark__406_1799712965"/>
      <w:r>
        <w:rPr>
          <w:color w:val="auto"/>
        </w:rPr>
      </w:r>
      <w:r>
        <w:rPr>
          <w:color w:val="auto"/>
          <w:lang w:val="en-US"/>
        </w:rPr>
        <w:t>3</w:t>
      </w:r>
      <w:bookmarkStart w:id="14" w:name="__Fieldmark__15_3063856971"/>
      <w:r>
        <w:rPr>
          <w:color w:val="auto"/>
        </w:rPr>
      </w:r>
      <w:r>
        <w:rPr/>
        <w:fldChar w:fldCharType="end"/>
      </w:r>
      <w:bookmarkEnd w:id="13"/>
      <w:bookmarkEnd w:id="14"/>
      <w:r>
        <w:rPr>
          <w:color w:val="auto"/>
        </w:rPr>
        <w:t>–</w:t>
      </w:r>
      <w:r>
        <w:rPr>
          <w:color w:val="auto"/>
        </w:rPr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bookmarkEnd w:id="12"/>
      <w:r>
        <w:rPr>
          <w:color w:val="auto"/>
        </w:rPr>
        <w:t>. The proposed chart for pH, PaCO</w:t>
      </w:r>
      <w:r>
        <w:rPr>
          <w:color w:val="auto"/>
          <w:vertAlign w:val="subscript"/>
        </w:rPr>
        <w:t>2</w:t>
      </w:r>
      <w:r>
        <w:rPr>
          <w:color w:val="auto"/>
        </w:rPr>
        <w:t xml:space="preserve"> and BE as built from the data in the </w:t>
      </w:r>
      <w:r>
        <w:rPr>
          <w:rStyle w:val="Nietafbreken"/>
          <w:color w:val="auto"/>
        </w:rPr>
        <w:t>ELIbe</w:t>
      </w:r>
      <w:r>
        <w:rPr>
          <w:color w:val="auto"/>
        </w:rPr>
        <w:t xml:space="preserve"> data set. The classical acid-base classification from </w:t>
      </w:r>
      <w:r>
        <w:rPr>
          <w:color w:val="auto"/>
        </w:rPr>
        <w:fldChar w:fldCharType="begin"/>
      </w:r>
      <w:r>
        <w:rPr/>
        <w:instrText> REF _Ref436284089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color w:val="auto"/>
        </w:rPr>
        <w:t xml:space="preserve"> are plotted in (dotted lines).</w:t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>
          <w:color w:val="auto"/>
        </w:rPr>
      </w:pPr>
      <w:r>
        <w:rPr/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>
          <w:color w:val="auto"/>
        </w:rPr>
      </w:pPr>
      <w:r>
        <w:rPr/>
      </w:r>
    </w:p>
    <w:p>
      <w:pPr>
        <w:pStyle w:val="Caption"/>
        <w:tabs>
          <w:tab w:val="center" w:pos="4394" w:leader="none"/>
          <w:tab w:val="right" w:pos="8789" w:leader="none"/>
        </w:tabs>
        <w:suppressAutoHyphens w:val="true"/>
        <w:spacing w:lineRule="exact" w:line="280" w:before="60" w:after="60"/>
        <w:rPr/>
      </w:pPr>
      <w:bookmarkStart w:id="15" w:name="_Ref423145527"/>
      <w:r>
        <w:rPr>
          <w:rStyle w:val="Buffer"/>
          <w:color w:val="auto"/>
        </w:rPr>
        <w:t>F</w:t>
      </w:r>
      <w:r>
        <w:rPr>
          <w:color w:val="auto"/>
        </w:rPr>
        <w:t xml:space="preserve">igure </w:t>
      </w:r>
      <w:r>
        <w:fldChar w:fldCharType="begin"/>
      </w:r>
      <w:r>
        <w:rPr/>
        <w:instrText>STYLEREF 1 \s</w:instrText>
      </w:r>
      <w:r>
        <w:rPr/>
        <w:fldChar w:fldCharType="separate"/>
      </w:r>
      <w:bookmarkStart w:id="16" w:name="__Fieldmark__446_1799712965"/>
      <w:r>
        <w:rPr>
          <w:color w:val="auto"/>
        </w:rPr>
      </w:r>
      <w:r>
        <w:rPr>
          <w:color w:val="auto"/>
          <w:lang w:val="en-US"/>
        </w:rPr>
        <w:t>3</w:t>
      </w:r>
      <w:bookmarkStart w:id="17" w:name="__Fieldmark__16_3063856971"/>
      <w:r>
        <w:rPr>
          <w:color w:val="auto"/>
        </w:rPr>
      </w:r>
      <w:r>
        <w:rPr/>
        <w:fldChar w:fldCharType="end"/>
      </w:r>
      <w:bookmarkEnd w:id="16"/>
      <w:bookmarkEnd w:id="17"/>
      <w:r>
        <w:rPr>
          <w:color w:val="auto"/>
        </w:rPr>
        <w:t>–</w:t>
      </w:r>
      <w:r>
        <w:rPr>
          <w:color w:val="auto"/>
        </w:rPr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bookmarkEnd w:id="15"/>
      <w:r>
        <w:rPr>
          <w:color w:val="auto"/>
        </w:rPr>
        <w:t xml:space="preserve">. The </w:t>
      </w:r>
      <w:r>
        <w:rPr>
          <w:rStyle w:val="Nietafbreken"/>
          <w:color w:val="auto"/>
        </w:rPr>
        <w:t>ELIbe</w:t>
      </w:r>
      <w:r>
        <w:rPr>
          <w:color w:val="auto"/>
        </w:rPr>
        <w:t xml:space="preserve"> chart with the new vector classification scheme plotted in (dotted lines).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uffer">
    <w:name w:val="Buffer"/>
    <w:basedOn w:val="DefaultParagraphFont"/>
    <w:qFormat/>
    <w:rPr/>
  </w:style>
  <w:style w:type="character" w:styleId="Nietafbreken">
    <w:name w:val="Niet afbreken"/>
    <w:basedOn w:val="DefaultParagraphFont"/>
    <w:qFormat/>
    <w:rPr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uteurs">
    <w:name w:val="Auteurs"/>
    <w:basedOn w:val="Normal"/>
    <w:qFormat/>
    <w:pPr>
      <w:suppressAutoHyphens w:val="true"/>
      <w:jc w:val="right"/>
    </w:pPr>
    <w:rPr/>
  </w:style>
  <w:style w:type="paragraph" w:styleId="Tijdschrift">
    <w:name w:val="Tijdschrift"/>
    <w:basedOn w:val="Normal"/>
    <w:qFormat/>
    <w:pPr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186</Words>
  <Characters>890</Characters>
  <CharactersWithSpaces>1051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2020-03-31T19:58:06Z</dcterms:created>
  <dc:creator/>
  <dc:description/>
  <dc:language>en-US</dc:language>
  <cp:lastModifiedBy/>
  <dcterms:modified xsi:type="dcterms:W3CDTF">2020-03-31T20:04:12Z</dcterms:modified>
  <cp:revision>1</cp:revision>
  <dc:subject/>
  <dc:title/>
</cp:coreProperties>
</file>