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6.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pBdr>
          <w:right w:val="single" w:sz="4" w:space="4" w:color="000000"/>
        </w:pBdr>
        <w:spacing w:before="240" w:after="60"/>
        <w:rPr/>
      </w:pPr>
      <w:bookmarkStart w:id="0" w:name="_Ref422820838"/>
      <w:r>
        <w:rPr/>
        <w:br/>
        <w:tab/>
      </w:r>
      <w:bookmarkStart w:id="1" w:name="_Ref433873047"/>
      <w:bookmarkStart w:id="2" w:name="_Ref433872855"/>
      <w:bookmarkStart w:id="3" w:name="_Ref433872001"/>
      <w:bookmarkStart w:id="4" w:name="_Ref433871878"/>
      <w:r>
        <w:rPr>
          <w:b/>
          <w:sz w:val="32"/>
        </w:rPr>
        <w:t>The</w:t>
      </w:r>
      <w:r>
        <w:rPr>
          <w:sz w:val="32"/>
        </w:rPr>
        <w:t xml:space="preserve"> </w:t>
      </w:r>
      <w:r>
        <w:rPr>
          <w:b/>
          <w:sz w:val="32"/>
        </w:rPr>
        <w:t>construction</w:t>
      </w:r>
      <w:r>
        <w:rPr>
          <w:sz w:val="32"/>
        </w:rPr>
        <w:t xml:space="preserve"> </w:t>
      </w:r>
      <w:r>
        <w:rPr>
          <w:b/>
          <w:sz w:val="32"/>
        </w:rPr>
        <w:t>of</w:t>
      </w:r>
      <w:r>
        <w:rPr>
          <w:sz w:val="32"/>
        </w:rPr>
        <w:t xml:space="preserve"> </w:t>
      </w:r>
      <w:r>
        <w:rPr>
          <w:b/>
          <w:sz w:val="32"/>
        </w:rPr>
        <w:t>patient-based</w:t>
      </w:r>
      <w:r>
        <w:rPr>
          <w:sz w:val="32"/>
        </w:rPr>
        <w:t xml:space="preserve"> </w:t>
      </w:r>
      <w:r>
        <w:rPr>
          <w:b/>
          <w:sz w:val="32"/>
        </w:rPr>
        <w:t>bivariate</w:t>
      </w:r>
      <w:r>
        <w:rPr>
          <w:sz w:val="32"/>
        </w:rPr>
        <w:t xml:space="preserve"> </w:t>
      </w:r>
      <w:r>
        <w:rPr>
          <w:b/>
          <w:sz w:val="32"/>
        </w:rPr>
        <w:t>reference</w:t>
      </w:r>
      <w:r>
        <w:rPr>
          <w:sz w:val="32"/>
        </w:rPr>
        <w:t xml:space="preserve"> </w:t>
      </w:r>
      <w:r>
        <w:rPr>
          <w:b/>
          <w:sz w:val="32"/>
        </w:rPr>
        <w:t>models</w:t>
      </w:r>
      <w:r>
        <w:rPr>
          <w:sz w:val="32"/>
        </w:rPr>
        <w:t xml:space="preserve"> </w:t>
      </w:r>
      <w:r>
        <w:rPr>
          <w:b/>
          <w:sz w:val="32"/>
        </w:rPr>
        <w:t>from</w:t>
      </w:r>
      <w:r>
        <w:rPr>
          <w:sz w:val="32"/>
        </w:rPr>
        <w:t xml:space="preserve"> </w:t>
      </w:r>
      <w:r>
        <w:rPr>
          <w:b/>
          <w:sz w:val="32"/>
        </w:rPr>
        <w:t>trivariate</w:t>
      </w:r>
      <w:r>
        <w:rPr>
          <w:sz w:val="32"/>
        </w:rPr>
        <w:t xml:space="preserve"> </w:t>
      </w:r>
      <w:r>
        <w:rPr>
          <w:b/>
          <w:sz w:val="32"/>
        </w:rPr>
        <w:t>arterial</w:t>
      </w:r>
      <w:r>
        <w:rPr>
          <w:sz w:val="32"/>
        </w:rPr>
        <w:t xml:space="preserve"> </w:t>
      </w:r>
      <w:r>
        <w:rPr>
          <w:b/>
          <w:sz w:val="32"/>
        </w:rPr>
        <w:t>acid-base</w:t>
      </w:r>
      <w:r>
        <w:rPr>
          <w:sz w:val="32"/>
        </w:rPr>
        <w:t xml:space="preserve"> </w:t>
      </w:r>
      <w:r>
        <w:rPr>
          <w:b/>
          <w:sz w:val="32"/>
        </w:rPr>
        <w:t>data</w:t>
      </w:r>
      <w:bookmarkEnd w:id="0"/>
      <w:r>
        <w:rPr>
          <w:b/>
          <w:sz w:val="32"/>
        </w:rPr>
        <w:t xml:space="preserve"> distributions</w:t>
      </w:r>
      <w:bookmarkEnd w:id="1"/>
      <w:bookmarkEnd w:id="2"/>
      <w:bookmarkEnd w:id="3"/>
      <w:bookmarkEnd w:id="4"/>
      <w:r>
        <w:rPr/>
        <w:t xml:space="preserve"> </w:t>
      </w:r>
    </w:p>
    <w:p>
      <w:pPr>
        <w:pStyle w:val="Normal"/>
        <w:rPr/>
      </w:pPr>
      <w:r>
        <w:rPr/>
      </w:r>
      <w:r>
        <w:br w:type="page"/>
      </w:r>
      <w:r>
        <mc:AlternateContent>
          <mc:Choice Requires="wps">
            <w:drawing>
              <wp:anchor behindDoc="0" distT="0" distB="0" distL="114935" distR="114935" simplePos="0" locked="0" layoutInCell="1" allowOverlap="1" relativeHeight="2">
                <wp:simplePos x="0" y="0"/>
                <wp:positionH relativeFrom="column">
                  <wp:align>right</wp:align>
                </wp:positionH>
                <wp:positionV relativeFrom="margin">
                  <wp:align>center</wp:align>
                </wp:positionV>
                <wp:extent cx="4724400" cy="215900"/>
                <wp:effectExtent l="0" t="0" r="0" b="0"/>
                <wp:wrapTopAndBottom/>
                <wp:docPr id="1" name="Frame1"/>
                <a:graphic xmlns:a="http://schemas.openxmlformats.org/drawingml/2006/main">
                  <a:graphicData uri="http://schemas.microsoft.com/office/word/2010/wordprocessingShape">
                    <wps:wsp>
                      <wps:cNvSpPr txBox="1"/>
                      <wps:spPr>
                        <a:xfrm>
                          <a:off x="0" y="0"/>
                          <a:ext cx="4724400" cy="215900"/>
                        </a:xfrm>
                        <a:prstGeom prst="rect"/>
                        <a:solidFill>
                          <a:srgbClr val="FFFFFF">
                            <a:alpha val="0"/>
                          </a:srgbClr>
                        </a:solidFill>
                      </wps:spPr>
                      <wps:txbx>
                        <w:txbxContent>
                          <w:p>
                            <w:pPr>
                              <w:pStyle w:val="Auteurs"/>
                              <w:rPr/>
                            </w:pPr>
                            <w:r>
                              <w:rPr>
                                <w:rStyle w:val="Buffer"/>
                              </w:rPr>
                              <w:t>M</w:t>
                            </w:r>
                            <w:r>
                              <w:rPr/>
                              <w:t xml:space="preserve">arcel Hekking, Edzard S. Gelsema, Jan Lindemans </w:t>
                            </w:r>
                          </w:p>
                        </w:txbxContent>
                      </wps:txbx>
                      <wps:bodyPr anchor="t" lIns="0" tIns="0" rIns="0" bIns="0">
                        <a:noAutofit/>
                      </wps:bodyPr>
                    </wps:wsp>
                  </a:graphicData>
                </a:graphic>
              </wp:anchor>
            </w:drawing>
          </mc:Choice>
          <mc:Fallback>
            <w:pict>
              <v:rect fillcolor="#FFFFFF" style="position:absolute;rotation:0;width:372pt;height:17pt;mso-wrap-distance-left:9.05pt;mso-wrap-distance-right:9.05pt;mso-wrap-distance-top:0pt;mso-wrap-distance-bottom:0pt;margin-top:327.4pt;mso-position-vertical:center;mso-position-vertical-relative:margin;margin-left:86.65pt;mso-position-horizontal:outside;mso-position-horizontal-relative:text">
                <v:fill opacity="0f"/>
                <v:textbox>
                  <w:txbxContent>
                    <w:p>
                      <w:pPr>
                        <w:pStyle w:val="Auteurs"/>
                        <w:rPr/>
                      </w:pPr>
                      <w:r>
                        <w:rPr>
                          <w:rStyle w:val="Buffer"/>
                        </w:rPr>
                        <w:t>M</w:t>
                      </w:r>
                      <w:r>
                        <w:rPr/>
                        <w:t xml:space="preserve">arcel Hekking, Edzard S. Gelsema, Jan Lindemans </w:t>
                      </w:r>
                    </w:p>
                  </w:txbxContent>
                </v:textbox>
                <w10:wrap type="topAndBottom"/>
              </v:rect>
            </w:pict>
          </mc:Fallback>
        </mc:AlternateContent>
      </w:r>
      <w:r>
        <mc:AlternateContent>
          <mc:Choice Requires="wps">
            <w:drawing>
              <wp:anchor behindDoc="0" distT="0" distB="0" distL="114935" distR="114935" simplePos="0" locked="0" layoutInCell="1" allowOverlap="1" relativeHeight="3">
                <wp:simplePos x="0" y="0"/>
                <wp:positionH relativeFrom="column">
                  <wp:align>right</wp:align>
                </wp:positionH>
                <wp:positionV relativeFrom="margin">
                  <wp:align>bottom</wp:align>
                </wp:positionV>
                <wp:extent cx="5601335" cy="215900"/>
                <wp:effectExtent l="0" t="0" r="0" b="0"/>
                <wp:wrapTopAndBottom/>
                <wp:docPr id="2" name="Frame2"/>
                <a:graphic xmlns:a="http://schemas.openxmlformats.org/drawingml/2006/main">
                  <a:graphicData uri="http://schemas.microsoft.com/office/word/2010/wordprocessingShape">
                    <wps:wsp>
                      <wps:cNvSpPr txBox="1"/>
                      <wps:spPr>
                        <a:xfrm>
                          <a:off x="0" y="0"/>
                          <a:ext cx="5601335" cy="215900"/>
                        </a:xfrm>
                        <a:prstGeom prst="rect"/>
                        <a:solidFill>
                          <a:srgbClr val="FFFFFF">
                            <a:alpha val="0"/>
                          </a:srgbClr>
                        </a:solidFill>
                      </wps:spPr>
                      <wps:txbx>
                        <w:txbxContent>
                          <w:p>
                            <w:pPr>
                              <w:pStyle w:val="Tijdschrift"/>
                              <w:rPr/>
                            </w:pPr>
                            <w:r>
                              <w:rPr>
                                <w:rStyle w:val="Buffer"/>
                              </w:rPr>
                              <w:t>P</w:t>
                            </w:r>
                            <w:r>
                              <w:rPr/>
                              <w:t>arts are published in: Clinical Biochemistry 1995; 6:581–585</w:t>
                            </w:r>
                          </w:p>
                        </w:txbxContent>
                      </wps:txbx>
                      <wps:bodyPr anchor="t" lIns="0" tIns="0" rIns="0" bIns="0">
                        <a:noAutofit/>
                      </wps:bodyPr>
                    </wps:wsp>
                  </a:graphicData>
                </a:graphic>
              </wp:anchor>
            </w:drawing>
          </mc:Choice>
          <mc:Fallback>
            <w:pict>
              <v:rect fillcolor="#FFFFFF" style="position:absolute;rotation:0;width:441.05pt;height:17pt;mso-wrap-distance-left:9.05pt;mso-wrap-distance-right:9.05pt;mso-wrap-distance-top:0pt;mso-wrap-distance-bottom:0pt;margin-top:654.8pt;mso-position-vertical:bottom;mso-position-vertical-relative:margin;margin-left:17.6pt;mso-position-horizontal:outside;mso-position-horizontal-relative:text">
                <v:fill opacity="0f"/>
                <v:textbox>
                  <w:txbxContent>
                    <w:p>
                      <w:pPr>
                        <w:pStyle w:val="Tijdschrift"/>
                        <w:rPr/>
                      </w:pPr>
                      <w:r>
                        <w:rPr>
                          <w:rStyle w:val="Buffer"/>
                        </w:rPr>
                        <w:t>P</w:t>
                      </w:r>
                      <w:r>
                        <w:rPr/>
                        <w:t>arts are published in: Clinical Biochemistry 1995; 6:581–585</w:t>
                      </w:r>
                    </w:p>
                  </w:txbxContent>
                </v:textbox>
                <w10:wrap type="topAndBottom"/>
              </v:rect>
            </w:pict>
          </mc:Fallback>
        </mc:AlternateContent>
      </w:r>
    </w:p>
    <w:p>
      <w:pPr>
        <w:pStyle w:val="Heading2"/>
        <w:numPr>
          <w:ilvl w:val="1"/>
          <w:numId w:val="1"/>
        </w:numPr>
        <w:rPr/>
      </w:pPr>
      <w:r>
        <w:rPr/>
        <w:t>Introduction</w:t>
      </w:r>
    </w:p>
    <w:p>
      <w:pPr>
        <w:pStyle w:val="Normal"/>
        <w:rPr/>
      </w:pPr>
      <w:r>
        <w:rPr/>
        <w:t xml:space="preserve">A central question in clinical chemistry is ‘Is the observed laboratory value for this person acceptable or not?’. The standard procedure for answering this question is to compare the observed laboratory value with a relevant univariate reference interval for that particular analyte </w:t>
      </w:r>
      <w:r>
        <w:fldChar w:fldCharType="begin"/>
      </w:r>
      <w:r>
        <w:rPr/>
        <w:instrText> ADDIN ENRf8 _x0001_</w:instrText>
      </w:r>
      <w:r>
        <w:rPr/>
        <w:fldChar w:fldCharType="separate"/>
      </w:r>
      <w:bookmarkStart w:id="5" w:name="__Fieldmark__0_4042815248"/>
      <w:r>
        <w:rPr/>
        <w:t>[1-3]</w:t>
      </w:r>
      <w:r>
        <w:rPr/>
      </w:r>
      <w:r>
        <w:rPr/>
        <w:fldChar w:fldCharType="end"/>
      </w:r>
      <w:bookmarkEnd w:id="5"/>
      <w:r>
        <w:rPr/>
        <w:t xml:space="preserve">. The univariate reference interval has served for years as a standard for the judgement of ‘normalcy’ of laboratory values </w:t>
      </w:r>
      <w:r>
        <w:fldChar w:fldCharType="begin"/>
      </w:r>
      <w:r>
        <w:rPr/>
        <w:instrText> ADDIN ENRf8 _x0001_</w:instrText>
      </w:r>
      <w:r>
        <w:rPr/>
        <w:fldChar w:fldCharType="separate"/>
      </w:r>
      <w:bookmarkStart w:id="6" w:name="__Fieldmark__1_4042815248"/>
      <w:r>
        <w:rPr/>
        <w:t>[4]</w:t>
      </w:r>
      <w:r>
        <w:rPr/>
      </w:r>
      <w:r>
        <w:rPr/>
        <w:fldChar w:fldCharType="end"/>
      </w:r>
      <w:bookmarkEnd w:id="6"/>
      <w:r>
        <w:rPr/>
        <w:t xml:space="preserve">. Many different approaches exist to determine a univariate reference interval </w:t>
      </w:r>
      <w:r>
        <w:fldChar w:fldCharType="begin"/>
      </w:r>
      <w:r>
        <w:rPr/>
        <w:instrText> ADDIN ENRf8 _x0001_</w:instrText>
      </w:r>
      <w:r>
        <w:rPr/>
        <w:fldChar w:fldCharType="separate"/>
      </w:r>
      <w:bookmarkStart w:id="7" w:name="__Fieldmark__2_4042815248"/>
      <w:r>
        <w:rPr/>
        <w:t>[5-7]</w:t>
      </w:r>
      <w:r>
        <w:rPr/>
      </w:r>
      <w:r>
        <w:rPr/>
        <w:fldChar w:fldCharType="end"/>
      </w:r>
      <w:bookmarkEnd w:id="7"/>
      <w:r>
        <w:rPr/>
        <w:t xml:space="preserve">. In general, a reference interval is constructed by taking a random sample from a specific (often healthy) reference population. New observed values are then compared with the values of the sample. Obviously, if the observed value is clearly not within the range of the sample values then one can safely assume the observed value to be abnormal with respect to the chosen reference population. However, with observed values coming closer to the range of values in the sample, there has to be some decision point as whether to consider the observed value to be typical for the reference population or not. This decision point has been arbitrarily set at 5%; when a decision is made one accepts a 5% probability of erroneously classifying an observed value as not typical for the chosen reference population (in hypothesis testing known as a type I error) </w:t>
      </w:r>
      <w:r>
        <w:fldChar w:fldCharType="begin"/>
      </w:r>
      <w:r>
        <w:rPr/>
        <w:instrText> ADDIN ENRf8 _x0001_</w:instrText>
      </w:r>
      <w:r>
        <w:rPr/>
        <w:fldChar w:fldCharType="separate"/>
      </w:r>
      <w:bookmarkStart w:id="8" w:name="__Fieldmark__3_4042815248"/>
      <w:r>
        <w:rPr/>
        <w:t>[8]</w:t>
      </w:r>
      <w:r>
        <w:rPr/>
      </w:r>
      <w:r>
        <w:rPr/>
        <w:fldChar w:fldCharType="end"/>
      </w:r>
      <w:bookmarkEnd w:id="8"/>
      <w:r>
        <w:rPr/>
        <w:t xml:space="preserve">. It has been shown that, in case the values of the sample follow a normal (or Gaussian) distribution, a parametric reference interval may be constructed by taking 2 standard deviations around the mean of the sample. </w:t>
      </w:r>
    </w:p>
    <w:p>
      <w:pPr>
        <w:pStyle w:val="Normal"/>
        <w:rPr/>
      </w:pPr>
      <w:r>
        <w:rPr/>
        <w:t>With respect to the statistical determination and the application of 95% univariate reference intervals for arterial pH, PaCO</w:t>
      </w:r>
      <w:r>
        <w:rPr>
          <w:vertAlign w:val="subscript"/>
        </w:rPr>
        <w:t>2</w:t>
      </w:r>
      <w:r>
        <w:rPr/>
        <w:t>,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and BE on an intensive care department, the following problems exist.</w:t>
      </w:r>
    </w:p>
    <w:p>
      <w:pPr>
        <w:pStyle w:val="Normal"/>
        <w:rPr/>
      </w:pPr>
      <w:r>
        <w:rPr/>
        <w:t xml:space="preserve">First, there is no clear consensus about how to define a useful reference population. If a population of healthy persons is taken as a reference population, reference intervals may be too narrow to be of practical use in clinical situations. Moreover, for quantities that are obtained by invasive procedures, the use of healthy volunteers may be ethically unsound </w:t>
      </w:r>
      <w:r>
        <w:fldChar w:fldCharType="begin"/>
      </w:r>
      <w:r>
        <w:rPr/>
        <w:instrText> ADDIN ENRf8 _x0001_</w:instrText>
      </w:r>
      <w:r>
        <w:rPr/>
        <w:fldChar w:fldCharType="separate"/>
      </w:r>
      <w:bookmarkStart w:id="9" w:name="__Fieldmark__4_4042815248"/>
      <w:r>
        <w:rPr/>
        <w:t>[9]</w:t>
      </w:r>
      <w:r>
        <w:rPr/>
      </w:r>
      <w:r>
        <w:rPr/>
        <w:fldChar w:fldCharType="end"/>
      </w:r>
      <w:bookmarkEnd w:id="9"/>
      <w:r>
        <w:rPr/>
        <w:t>.</w:t>
      </w:r>
    </w:p>
    <w:p>
      <w:pPr>
        <w:pStyle w:val="Normal"/>
        <w:rPr/>
      </w:pPr>
      <w:r>
        <w:rPr/>
        <w:t>A second problem stems from the intrinsic two-dimensionality of a trivariate arterial acid-base data set. The relationship between pH, logarithmic PaCO</w:t>
      </w:r>
      <w:r>
        <w:rPr>
          <w:vertAlign w:val="subscript"/>
        </w:rPr>
        <w:t>2</w:t>
      </w:r>
      <w:r>
        <w:rPr/>
        <w:t xml:space="preserve"> and logarithmic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as described by the Henderson-Hasselbalch equation, is linear and even the relationship between pH, PaCO</w:t>
      </w:r>
      <w:r>
        <w:rPr>
          <w:vertAlign w:val="subscript"/>
        </w:rPr>
        <w:t>2</w:t>
      </w:r>
      <w:r>
        <w:rPr/>
        <w:t xml:space="preserve"> and BE is a nearly linear one (see preceding chapters). Accordingly, it is unnecessary and illogical to use reference intervals for all three acid-base variables, since only two of the three can change independently </w:t>
      </w:r>
      <w:r>
        <w:fldChar w:fldCharType="begin"/>
      </w:r>
      <w:r>
        <w:rPr/>
        <w:instrText> ADDIN ENRf8 _x0001_</w:instrText>
      </w:r>
      <w:r>
        <w:rPr/>
        <w:fldChar w:fldCharType="separate"/>
      </w:r>
      <w:bookmarkStart w:id="10" w:name="__Fieldmark__5_4042815248"/>
      <w:r>
        <w:rPr/>
        <w:t>[10]</w:t>
      </w:r>
      <w:r>
        <w:rPr/>
      </w:r>
      <w:r>
        <w:rPr/>
        <w:fldChar w:fldCharType="end"/>
      </w:r>
      <w:bookmarkEnd w:id="10"/>
      <w:r>
        <w:rPr/>
        <w:t>.</w:t>
      </w:r>
    </w:p>
    <w:p>
      <w:pPr>
        <w:pStyle w:val="Normal"/>
        <w:rPr/>
      </w:pPr>
      <w:r>
        <w:rPr/>
        <w:t xml:space="preserve">Thirdly, there are problems concerning the selection of the proper statistical model. The use of the parametric univariate 95% reference interval as the statistical model for evaluating laboratory values is well established in clinical chemistry </w:t>
      </w:r>
      <w:r>
        <w:fldChar w:fldCharType="begin"/>
      </w:r>
      <w:r>
        <w:rPr/>
        <w:instrText> ADDIN ENRf8 _x0001_</w:instrText>
      </w:r>
      <w:r>
        <w:rPr/>
        <w:fldChar w:fldCharType="separate"/>
      </w:r>
      <w:bookmarkStart w:id="11" w:name="__Fieldmark__6_4042815248"/>
      <w:r>
        <w:rPr/>
        <w:t>[2]</w:t>
      </w:r>
      <w:r>
        <w:rPr/>
      </w:r>
      <w:r>
        <w:rPr/>
        <w:fldChar w:fldCharType="end"/>
      </w:r>
      <w:bookmarkEnd w:id="11"/>
      <w:r>
        <w:rPr/>
        <w:t xml:space="preserve">. However, already in 1969, Schoen and Brooks </w:t>
      </w:r>
      <w:r>
        <w:fldChar w:fldCharType="begin"/>
      </w:r>
      <w:r>
        <w:rPr/>
        <w:instrText> ADDIN ENRf8 _x0001_</w:instrText>
      </w:r>
      <w:r>
        <w:rPr/>
        <w:fldChar w:fldCharType="separate"/>
      </w:r>
      <w:bookmarkStart w:id="12" w:name="__Fieldmark__7_4042815248"/>
      <w:r>
        <w:rPr/>
        <w:t>[11]</w:t>
      </w:r>
      <w:r>
        <w:rPr/>
      </w:r>
      <w:r>
        <w:rPr/>
        <w:fldChar w:fldCharType="end"/>
      </w:r>
      <w:bookmarkEnd w:id="12"/>
      <w:r>
        <w:rPr/>
        <w:t xml:space="preserve"> reported a statistical dilemma resulting from the use of multiple 95% reference intervals. A person, evaluated with a single 95% reference interval has an </w:t>
      </w:r>
      <w:r>
        <w:rPr>
          <w:i/>
        </w:rPr>
        <w:t>a priori</w:t>
      </w:r>
      <w:r>
        <w:rPr/>
        <w:t xml:space="preserve"> probability of 5% of being incorrectly diagnosed as abnormal. The same person evaluated with 10 such 95% reference intervals for 10 independent analytes will have an </w:t>
      </w:r>
      <w:r>
        <w:rPr>
          <w:i/>
        </w:rPr>
        <w:t>a priori</w:t>
      </w:r>
      <w:r>
        <w:rPr/>
        <w:t xml:space="preserve"> probability of 40% (1-0.95</w:t>
      </w:r>
      <w:r>
        <w:rPr>
          <w:vertAlign w:val="superscript"/>
        </w:rPr>
        <w:t>10</w:t>
      </w:r>
      <w:r>
        <w:rPr/>
        <w:t xml:space="preserve"> = 0.4) for being incorrectly diagnosed as abnormal for one or more intervals. Hence, in situations of a simultaneous interpretation of multiple variables, the use of single 95% reference intervals results in an increase in the number of false positive observations by chance alone </w:t>
      </w:r>
      <w:r>
        <w:fldChar w:fldCharType="begin"/>
      </w:r>
      <w:r>
        <w:rPr/>
        <w:instrText> ADDIN ENRf8 _x0001_</w:instrText>
      </w:r>
      <w:r>
        <w:rPr/>
        <w:fldChar w:fldCharType="separate"/>
      </w:r>
      <w:bookmarkStart w:id="13" w:name="__Fieldmark__8_4042815248"/>
      <w:r>
        <w:rPr/>
        <w:t>[12]</w:t>
      </w:r>
      <w:r>
        <w:rPr/>
      </w:r>
      <w:r>
        <w:rPr/>
        <w:fldChar w:fldCharType="end"/>
      </w:r>
      <w:bookmarkEnd w:id="13"/>
      <w:r>
        <w:rPr/>
        <w:t xml:space="preserve">. One way to deal with this dilemma is to automatically adjust the reference intervals in case of multiple variables in such a way that the probability of falling within all univariate reference intervals remains 95% (Bonferroni adjustment) </w:t>
      </w:r>
      <w:r>
        <w:fldChar w:fldCharType="begin"/>
      </w:r>
      <w:r>
        <w:rPr/>
        <w:instrText> ADDIN ENRf8 _x0001_</w:instrText>
      </w:r>
      <w:r>
        <w:rPr/>
        <w:fldChar w:fldCharType="separate"/>
      </w:r>
      <w:bookmarkStart w:id="14" w:name="__Fieldmark__9_4042815248"/>
      <w:r>
        <w:rPr/>
        <w:t>[13, 14]</w:t>
      </w:r>
      <w:r>
        <w:rPr/>
      </w:r>
      <w:r>
        <w:rPr/>
        <w:fldChar w:fldCharType="end"/>
      </w:r>
      <w:bookmarkEnd w:id="14"/>
      <w:r>
        <w:rPr/>
        <w:t xml:space="preserve">. Another option is the use of the multivariate reference model </w:t>
      </w:r>
      <w:r>
        <w:fldChar w:fldCharType="begin"/>
      </w:r>
      <w:r>
        <w:rPr/>
        <w:instrText> ADDIN ENRf8 _x0001_</w:instrText>
      </w:r>
      <w:r>
        <w:rPr/>
        <w:fldChar w:fldCharType="separate"/>
      </w:r>
      <w:bookmarkStart w:id="15" w:name="__Fieldmark__10_4042815248"/>
      <w:r>
        <w:rPr/>
        <w:t>[7, 14-19]</w:t>
      </w:r>
      <w:r>
        <w:rPr/>
      </w:r>
      <w:r>
        <w:rPr/>
        <w:fldChar w:fldCharType="end"/>
      </w:r>
      <w:bookmarkEnd w:id="15"/>
      <w:r>
        <w:rPr/>
        <w:t>.</w:t>
      </w:r>
    </w:p>
    <w:p>
      <w:pPr>
        <w:pStyle w:val="Normal"/>
        <w:rPr/>
      </w:pPr>
      <w:r>
        <w:rPr/>
        <w:t xml:space="preserve">The essence of a multivariate reference model is that it treats two or more univariate distributions as one joint multivariate distribution rather than separate distributions. </w:t>
      </w:r>
      <w:r>
        <w:rPr/>
        <w:fldChar w:fldCharType="begin"/>
      </w:r>
      <w:r>
        <w:rPr/>
        <w:instrText> REF _Ref422794869 \h </w:instrText>
      </w:r>
      <w:r>
        <w:rPr/>
        <w:fldChar w:fldCharType="separate"/>
      </w:r>
      <w:r>
        <w:rPr/>
        <w:t>Figure  4 –1</w:t>
      </w:r>
      <w:r>
        <w:rPr/>
        <w:fldChar w:fldCharType="end"/>
      </w:r>
      <w:r>
        <w:rPr/>
        <w:t xml:space="preserve"> displays such a joint distribution for two hypothetical standard univariate distributions. Both univariate distributions are Gaussian, as illustrated by their bell-shaped curves. The joint distribution of both marginal distributions is the bell-shaped ‘mountain’ in the middle. Univariate reference intervals are obtained by making horizontal cross-section of the marginal distributions at the 5% probability density level. At the bottom the resultant squared reference region can be found. A cross-section of the multivariate distribution at the 5% probability level, however, results in an elliptical reference region. In analogy to the univariate case, an observation falling outside this ellipse has an </w:t>
      </w:r>
      <w:r>
        <w:rPr>
          <w:i/>
        </w:rPr>
        <w:t>a priori</w:t>
      </w:r>
      <w:r>
        <w:rPr/>
        <w:t xml:space="preserve"> probability of 5% of being incorrectly diagnosed as abnormal.</w:t>
      </w:r>
      <w:r>
        <mc:AlternateContent>
          <mc:Choice Requires="wps">
            <w:drawing>
              <wp:anchor behindDoc="0" distT="114935" distB="0" distL="114935" distR="114935" simplePos="0" locked="0" layoutInCell="1" allowOverlap="1" relativeHeight="6">
                <wp:simplePos x="0" y="0"/>
                <wp:positionH relativeFrom="margin">
                  <wp:align>center</wp:align>
                </wp:positionH>
                <wp:positionV relativeFrom="margin">
                  <wp:align>bottom</wp:align>
                </wp:positionV>
                <wp:extent cx="5940425" cy="5554345"/>
                <wp:effectExtent l="0" t="0" r="0" b="0"/>
                <wp:wrapTopAndBottom/>
                <wp:docPr id="3" name="Frame3"/>
                <a:graphic xmlns:a="http://schemas.openxmlformats.org/drawingml/2006/main">
                  <a:graphicData uri="http://schemas.microsoft.com/office/word/2010/wordprocessingShape">
                    <wps:wsp>
                      <wps:cNvSpPr txBox="1"/>
                      <wps:spPr>
                        <a:xfrm>
                          <a:off x="0" y="0"/>
                          <a:ext cx="5940425" cy="5554345"/>
                        </a:xfrm>
                        <a:prstGeom prst="rect"/>
                        <a:solidFill>
                          <a:srgbClr val="FFFFFF">
                            <a:alpha val="0"/>
                          </a:srgbClr>
                        </a:solidFill>
                      </wps:spPr>
                      <wps:txbx>
                        <w:txbxContent>
                          <w:p>
                            <w:pPr>
                              <w:pStyle w:val="Plaatsingfiguur"/>
                              <w:rPr>
                                <w:rStyle w:val="Buffer"/>
                              </w:rPr>
                            </w:pPr>
                            <w:r>
                              <w:rPr>
                                <w:rStyle w:val="Buffer"/>
                              </w:rPr>
                              <w:drawing>
                                <wp:inline distT="0" distB="0" distL="0" distR="0">
                                  <wp:extent cx="5942965" cy="44494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7" t="-9" r="-7" b="-9"/>
                                          <a:stretch>
                                            <a:fillRect/>
                                          </a:stretch>
                                        </pic:blipFill>
                                        <pic:spPr bwMode="auto">
                                          <a:xfrm>
                                            <a:off x="0" y="0"/>
                                            <a:ext cx="5942965" cy="444944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lang w:val="en-US"/>
                              </w:rPr>
                            </w:pPr>
                            <w:bookmarkStart w:id="16" w:name="_Ref422794869"/>
                            <w:r>
                              <w:rPr>
                                <w:rStyle w:val="Buffer"/>
                              </w:rPr>
                              <w:t>F</w:t>
                            </w:r>
                            <w:r>
                              <w:rPr/>
                              <w:t xml:space="preserve">igure </w:t>
                            </w:r>
                            <w:r>
                              <w:fldChar w:fldCharType="begin"/>
                            </w:r>
                            <w:r>
                              <w:rPr/>
                              <w:instrText> STYLEREF 1 \s </w:instrText>
                            </w:r>
                            <w:r>
                              <w:rPr/>
                              <w:fldChar w:fldCharType="separate"/>
                            </w:r>
                            <w:bookmarkStart w:id="17" w:name="__Fieldmark__11_4042815248"/>
                            <w:r>
                              <w:rPr>
                                <w:lang w:val="en-US"/>
                              </w:rPr>
                              <w:t>4</w:t>
                            </w:r>
                            <w:r>
                              <w:rPr>
                                <w:lang w:val="en-US"/>
                              </w:rPr>
                            </w:r>
                            <w:r>
                              <w:rPr/>
                              <w:fldChar w:fldCharType="end"/>
                            </w:r>
                            <w:bookmarkEnd w:id="17"/>
                            <w:r>
                              <w:rPr/>
                              <w:t>–</w:t>
                            </w:r>
                            <w:r>
                              <w:rPr/>
                              <w:fldChar w:fldCharType="begin"/>
                            </w:r>
                            <w:r>
                              <w:rPr/>
                              <w:instrText> SEQ Figure \* ARABIC </w:instrText>
                            </w:r>
                            <w:r>
                              <w:rPr/>
                              <w:fldChar w:fldCharType="separate"/>
                            </w:r>
                            <w:r>
                              <w:rPr/>
                              <w:t>1</w:t>
                            </w:r>
                            <w:r>
                              <w:rPr/>
                              <w:fldChar w:fldCharType="end"/>
                            </w:r>
                            <w:bookmarkEnd w:id="16"/>
                            <w:r>
                              <w:rPr/>
                              <w:t xml:space="preserve">. The joint distribution of two hypothetical standard normal univariate distributions. The correlation coefficient r between both variables has been set to 0.8. Projections of horizontal cross-sections at the 5% probability density level yield two types of reference regions: the square and the ellipse. Differences between these regions are explained further in </w:t>
                            </w:r>
                            <w:r>
                              <w:rPr/>
                              <w:fldChar w:fldCharType="begin"/>
                            </w:r>
                            <w:r>
                              <w:rPr/>
                              <w:instrText> REF _Ref403899767 \h </w:instrText>
                            </w:r>
                            <w:r>
                              <w:rPr/>
                              <w:fldChar w:fldCharType="separate"/>
                            </w:r>
                            <w:r>
                              <w:rPr/>
                              <w:t>Figure  4 –2</w:t>
                            </w:r>
                            <w:r>
                              <w:rPr/>
                              <w:fldChar w:fldCharType="end"/>
                            </w:r>
                            <w:r>
                              <w:rPr/>
                              <w:t>.</w:t>
                            </w:r>
                          </w:p>
                        </w:txbxContent>
                      </wps:txbx>
                      <wps:bodyPr anchor="t" lIns="0" tIns="0" rIns="0" bIns="0">
                        <a:noAutofit/>
                      </wps:bodyPr>
                    </wps:wsp>
                  </a:graphicData>
                </a:graphic>
              </wp:anchor>
            </w:drawing>
          </mc:Choice>
          <mc:Fallback>
            <w:pict>
              <v:rect fillcolor="#FFFFFF" style="position:absolute;rotation:0;width:467.75pt;height:437.35pt;mso-wrap-distance-left:9.05pt;mso-wrap-distance-right:9.05pt;mso-wrap-distance-top:9.05pt;mso-wrap-distance-bottom:0pt;margin-top:234.45pt;mso-position-vertical:bottom;mso-position-vertical-relative:margin;margin-left:0pt;mso-position-horizontal:center;mso-position-horizontal-relative:margin">
                <v:fill opacity="0f"/>
                <v:textbox>
                  <w:txbxContent>
                    <w:p>
                      <w:pPr>
                        <w:pStyle w:val="Plaatsingfiguur"/>
                        <w:rPr>
                          <w:rStyle w:val="Buffer"/>
                        </w:rPr>
                      </w:pPr>
                      <w:r>
                        <w:rPr>
                          <w:rStyle w:val="Buffer"/>
                        </w:rPr>
                        <w:drawing>
                          <wp:inline distT="0" distB="0" distL="0" distR="0">
                            <wp:extent cx="5942965" cy="44494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7" t="-9" r="-7" b="-9"/>
                                    <a:stretch>
                                      <a:fillRect/>
                                    </a:stretch>
                                  </pic:blipFill>
                                  <pic:spPr bwMode="auto">
                                    <a:xfrm>
                                      <a:off x="0" y="0"/>
                                      <a:ext cx="5942965" cy="444944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lang w:val="en-US"/>
                        </w:rPr>
                      </w:pPr>
                      <w:bookmarkStart w:id="18" w:name="_Ref422794869"/>
                      <w:r>
                        <w:rPr>
                          <w:rStyle w:val="Buffer"/>
                        </w:rPr>
                        <w:t>F</w:t>
                      </w:r>
                      <w:r>
                        <w:rPr/>
                        <w:t xml:space="preserve">igure </w:t>
                      </w:r>
                      <w:r>
                        <w:fldChar w:fldCharType="begin"/>
                      </w:r>
                      <w:r>
                        <w:rPr/>
                        <w:instrText> STYLEREF 1 \s </w:instrText>
                      </w:r>
                      <w:r>
                        <w:rPr/>
                        <w:fldChar w:fldCharType="separate"/>
                      </w:r>
                      <w:bookmarkStart w:id="19" w:name="__Fieldmark__11_4042815248"/>
                      <w:r>
                        <w:rPr>
                          <w:lang w:val="en-US"/>
                        </w:rPr>
                        <w:t>4</w:t>
                      </w:r>
                      <w:r>
                        <w:rPr>
                          <w:lang w:val="en-US"/>
                        </w:rPr>
                      </w:r>
                      <w:r>
                        <w:rPr/>
                        <w:fldChar w:fldCharType="end"/>
                      </w:r>
                      <w:bookmarkEnd w:id="19"/>
                      <w:r>
                        <w:rPr/>
                        <w:t>–</w:t>
                      </w:r>
                      <w:r>
                        <w:rPr/>
                        <w:fldChar w:fldCharType="begin"/>
                      </w:r>
                      <w:r>
                        <w:rPr/>
                        <w:instrText> SEQ Figure \* ARABIC </w:instrText>
                      </w:r>
                      <w:r>
                        <w:rPr/>
                        <w:fldChar w:fldCharType="separate"/>
                      </w:r>
                      <w:r>
                        <w:rPr/>
                        <w:t>1</w:t>
                      </w:r>
                      <w:r>
                        <w:rPr/>
                        <w:fldChar w:fldCharType="end"/>
                      </w:r>
                      <w:bookmarkEnd w:id="18"/>
                      <w:r>
                        <w:rPr/>
                        <w:t xml:space="preserve">. The joint distribution of two hypothetical standard normal univariate distributions. The correlation coefficient r between both variables has been set to 0.8. Projections of horizontal cross-sections at the 5% probability density level yield two types of reference regions: the square and the ellipse. Differences between these regions are explained further in </w:t>
                      </w:r>
                      <w:r>
                        <w:rPr/>
                        <w:fldChar w:fldCharType="begin"/>
                      </w:r>
                      <w:r>
                        <w:rPr/>
                        <w:instrText> REF _Ref403899767 \h </w:instrText>
                      </w:r>
                      <w:r>
                        <w:rPr/>
                        <w:fldChar w:fldCharType="separate"/>
                      </w:r>
                      <w:r>
                        <w:rPr/>
                        <w:t>Figure  4 –2</w:t>
                      </w:r>
                      <w:r>
                        <w:rPr/>
                        <w:fldChar w:fldCharType="end"/>
                      </w:r>
                      <w:r>
                        <w:rPr/>
                        <w:t>.</w:t>
                      </w:r>
                    </w:p>
                  </w:txbxContent>
                </v:textbox>
                <w10:wrap type="topAndBottom"/>
              </v:rect>
            </w:pict>
          </mc:Fallback>
        </mc:AlternateContent>
      </w:r>
    </w:p>
    <w:p>
      <w:pPr>
        <w:pStyle w:val="Normal"/>
        <w:rPr/>
      </w:pPr>
      <w:r>
        <w:rPr/>
        <w:t xml:space="preserve">The major advantage of using a multivariate reference region as the true reference region rather than the region enclosed by the two univariate reference intervals is that it takes into account possible correlations between the variables. This is illustrated in </w:t>
      </w:r>
      <w:r>
        <w:rPr/>
        <w:fldChar w:fldCharType="begin"/>
      </w:r>
      <w:r>
        <w:rPr/>
        <w:instrText> REF _Ref403899767 \h </w:instrText>
      </w:r>
      <w:r>
        <w:rPr/>
        <w:fldChar w:fldCharType="separate"/>
      </w:r>
      <w:r>
        <w:rPr/>
        <w:t>Figure  4 –2</w:t>
      </w:r>
      <w:r>
        <w:rPr/>
        <w:fldChar w:fldCharType="end"/>
      </w:r>
      <w:r>
        <w:rPr/>
        <w:t xml:space="preserve">. The rectangle represents the reference region when using both univariate reference intervals. If the ellipse is taken as the standard, false positive and false negative observations may occur. For instance, observation 1 falls within both univariate intervals and is therefore normal for both variables separately. The combination of the two, however, is far from normal due to the positive correlation between the variables. On the other hand, observation 2 is abnormal for both univariate variables but is indeed normal if the correlation between the variables is taken into account. These effects become stronger as the correlation between the variables increases but are present even if the variates involved are uncorrelated </w:t>
      </w:r>
      <w:r>
        <w:fldChar w:fldCharType="begin"/>
      </w:r>
      <w:r>
        <w:rPr/>
        <w:instrText> ADDIN ENRf8 _x0001_</w:instrText>
      </w:r>
      <w:r>
        <w:rPr/>
        <w:fldChar w:fldCharType="separate"/>
      </w:r>
      <w:bookmarkStart w:id="20" w:name="__Fieldmark__12_4042815248"/>
      <w:r>
        <w:rPr/>
        <w:t>[20]</w:t>
      </w:r>
      <w:r>
        <w:rPr/>
      </w:r>
      <w:r>
        <w:rPr/>
        <w:fldChar w:fldCharType="end"/>
      </w:r>
      <w:bookmarkEnd w:id="20"/>
      <w:r>
        <w:rPr/>
        <w:t>.</w:t>
      </w:r>
    </w:p>
    <w:p>
      <w:pPr>
        <w:pStyle w:val="Normal"/>
        <w:rPr/>
      </w:pPr>
      <w:r>
        <w:rPr/>
        <w:t>In this chapter, a method for deriving reference models for arterial acid-base data is presented that addresses all of the problems discussed above. A method is proposed that calculates multivariate reference models from laboratory values of intensive care patients themselves. Intensive care patients rather than healthy individuals are therefore the reference population. Moreover, in concordance with the observed linearity between the arterial acid-base parameters, multivariate models are built on the first two rotated principal component values as calculated with the techniques described in the preceding chapters.</w:t>
      </w:r>
      <w:r>
        <mc:AlternateContent>
          <mc:Choice Requires="wps">
            <w:drawing>
              <wp:anchor behindDoc="0" distT="0" distB="114935" distL="114935" distR="114935" simplePos="0" locked="0" layoutInCell="1" allowOverlap="1" relativeHeight="8">
                <wp:simplePos x="0" y="0"/>
                <wp:positionH relativeFrom="rightMargin">
                  <wp:posOffset>-2970530</wp:posOffset>
                </wp:positionH>
                <wp:positionV relativeFrom="margin">
                  <wp:align>top</wp:align>
                </wp:positionV>
                <wp:extent cx="2970530" cy="4547870"/>
                <wp:effectExtent l="0" t="0" r="0" b="0"/>
                <wp:wrapSquare wrapText="largest"/>
                <wp:docPr id="6" name="Frame4"/>
                <a:graphic xmlns:a="http://schemas.openxmlformats.org/drawingml/2006/main">
                  <a:graphicData uri="http://schemas.microsoft.com/office/word/2010/wordprocessingShape">
                    <wps:wsp>
                      <wps:cNvSpPr txBox="1"/>
                      <wps:spPr>
                        <a:xfrm>
                          <a:off x="0" y="0"/>
                          <a:ext cx="2970530" cy="4547870"/>
                        </a:xfrm>
                        <a:prstGeom prst="rect"/>
                        <a:solidFill>
                          <a:srgbClr val="FFFFFF">
                            <a:alpha val="0"/>
                          </a:srgbClr>
                        </a:solidFill>
                      </wps:spPr>
                      <wps:txbx>
                        <w:txbxContent>
                          <w:p>
                            <w:pPr>
                              <w:pStyle w:val="Plaatsingfiguur"/>
                              <w:rPr>
                                <w:rStyle w:val="Buffer"/>
                              </w:rPr>
                            </w:pPr>
                            <w:r>
                              <w:rPr>
                                <w:rStyle w:val="Buffer"/>
                              </w:rPr>
                              <w:drawing>
                                <wp:inline distT="0" distB="0" distL="0" distR="0">
                                  <wp:extent cx="2868295" cy="202057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7872" t="10497" r="7872" b="10497"/>
                                          <a:stretch>
                                            <a:fillRect/>
                                          </a:stretch>
                                        </pic:blipFill>
                                        <pic:spPr bwMode="auto">
                                          <a:xfrm>
                                            <a:off x="0" y="0"/>
                                            <a:ext cx="2868295" cy="202057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rStyle w:val="Buffer"/>
                              </w:rPr>
                            </w:pPr>
                            <w:bookmarkStart w:id="21" w:name="_Ref403899767"/>
                            <w:r>
                              <w:rPr>
                                <w:rStyle w:val="Buffer"/>
                              </w:rPr>
                              <w:t xml:space="preserve">Figure </w:t>
                            </w:r>
                            <w:r>
                              <w:fldChar w:fldCharType="begin"/>
                            </w:r>
                            <w:r>
                              <w:rPr>
                                <w:rStyle w:val="Buffer"/>
                              </w:rPr>
                              <w:instrText> STYLEREF 1 \s </w:instrText>
                            </w:r>
                            <w:r>
                              <w:rPr>
                                <w:rStyle w:val="Buffer"/>
                              </w:rPr>
                              <w:fldChar w:fldCharType="separate"/>
                            </w:r>
                            <w:bookmarkStart w:id="22" w:name="__Fieldmark__13_4042815248"/>
                            <w:r>
                              <w:rPr>
                                <w:rStyle w:val="Buffer"/>
                                <w:lang w:val="en-US"/>
                              </w:rPr>
                              <w:t>4</w:t>
                            </w:r>
                            <w:r>
                              <w:rPr>
                                <w:rStyle w:val="Buffer"/>
                                <w:lang w:val="en-US"/>
                              </w:rPr>
                            </w:r>
                            <w:r>
                              <w:rPr>
                                <w:rStyle w:val="Buffer"/>
                              </w:rPr>
                              <w:fldChar w:fldCharType="end"/>
                            </w:r>
                            <w:bookmarkEnd w:id="22"/>
                            <w:r>
                              <w:rPr>
                                <w:rStyle w:val="Buffer"/>
                              </w:rPr>
                              <w:t>–</w:t>
                            </w:r>
                            <w:r>
                              <w:rPr>
                                <w:rStyle w:val="Buffer"/>
                              </w:rPr>
                              <w:fldChar w:fldCharType="begin"/>
                            </w:r>
                            <w:r>
                              <w:rPr>
                                <w:rStyle w:val="Buffer"/>
                              </w:rPr>
                              <w:instrText> SEQ Figure \* ARABIC </w:instrText>
                            </w:r>
                            <w:r>
                              <w:rPr>
                                <w:rStyle w:val="Buffer"/>
                              </w:rPr>
                              <w:fldChar w:fldCharType="separate"/>
                            </w:r>
                            <w:r>
                              <w:rPr>
                                <w:rStyle w:val="Buffer"/>
                              </w:rPr>
                              <w:t>2</w:t>
                            </w:r>
                            <w:r>
                              <w:rPr>
                                <w:rStyle w:val="Buffer"/>
                              </w:rPr>
                              <w:fldChar w:fldCharType="end"/>
                            </w:r>
                            <w:bookmarkEnd w:id="21"/>
                            <w:r>
                              <w:rPr>
                                <w:rStyle w:val="Buffer"/>
                              </w:rPr>
                              <w:t xml:space="preserve">. Discrepancy between a multiple univariate reference region and a single multivariate reference region. Plotted horizontally and vertically are the probability densities of analyte 1 and 2 of </w:t>
                            </w:r>
                            <w:r>
                              <w:rPr>
                                <w:rStyle w:val="Buffer"/>
                              </w:rPr>
                              <w:fldChar w:fldCharType="begin"/>
                            </w:r>
                            <w:r>
                              <w:rPr>
                                <w:rStyle w:val="Buffer"/>
                              </w:rPr>
                              <w:instrText> REF _Ref422794869 \h </w:instrText>
                            </w:r>
                            <w:r>
                              <w:rPr>
                                <w:rStyle w:val="Buffer"/>
                              </w:rPr>
                              <w:fldChar w:fldCharType="separate"/>
                            </w:r>
                            <w:r>
                              <w:rPr>
                                <w:rStyle w:val="Buffer"/>
                              </w:rPr>
                              <w:t>Figure  4 –1</w:t>
                            </w:r>
                            <w:r>
                              <w:rPr>
                                <w:rStyle w:val="Buffer"/>
                              </w:rPr>
                              <w:fldChar w:fldCharType="end"/>
                            </w:r>
                            <w:r>
                              <w:rPr>
                                <w:rStyle w:val="Buffer"/>
                              </w:rPr>
                              <w:t xml:space="preserve">, respectively. Using the region enclosed by the two univariate reference intervals as a reference region, observations 1 and 2 are a false negative and a false positive observation, respectively when the 95% reference ellipse is taken as the standard </w:t>
                            </w:r>
                            <w:r>
                              <w:fldChar w:fldCharType="begin"/>
                            </w:r>
                            <w:r>
                              <w:rPr>
                                <w:rStyle w:val="Buffer"/>
                              </w:rPr>
                              <w:instrText> ADDIN ENRf8 _x0001_</w:instrText>
                            </w:r>
                            <w:r>
                              <w:rPr>
                                <w:rStyle w:val="Buffer"/>
                              </w:rPr>
                              <w:fldChar w:fldCharType="separate"/>
                            </w:r>
                            <w:bookmarkStart w:id="23" w:name="__Fieldmark__14_4042815248"/>
                            <w:r>
                              <w:rPr>
                                <w:rStyle w:val="Buffer"/>
                              </w:rPr>
                              <w:t>[7, 20]</w:t>
                            </w:r>
                            <w:r>
                              <w:rPr>
                                <w:rStyle w:val="Buffer"/>
                              </w:rPr>
                            </w:r>
                            <w:r>
                              <w:rPr>
                                <w:rStyle w:val="Buffer"/>
                              </w:rPr>
                              <w:fldChar w:fldCharType="end"/>
                            </w:r>
                            <w:bookmarkEnd w:id="23"/>
                            <w:r>
                              <w:rPr>
                                <w:rStyle w:val="Buffer"/>
                              </w:rPr>
                              <w:t>.</w:t>
                            </w:r>
                          </w:p>
                        </w:txbxContent>
                      </wps:txbx>
                      <wps:bodyPr anchor="t" lIns="0" tIns="0" rIns="0" bIns="0">
                        <a:noAutofit/>
                      </wps:bodyPr>
                    </wps:wsp>
                  </a:graphicData>
                </a:graphic>
              </wp:anchor>
            </w:drawing>
          </mc:Choice>
          <mc:Fallback>
            <w:pict>
              <v:rect fillcolor="#FFFFFF" style="position:absolute;rotation:0;width:233.9pt;height:358.1pt;mso-wrap-distance-left:9.05pt;mso-wrap-distance-right:9.05pt;mso-wrap-distance-top:0pt;mso-wrap-distance-bottom:9.05pt;margin-top:0pt;mso-position-vertical:top;mso-position-vertical-relative:margin;margin-left:-233.9pt;mso-position-horizontal-relative:margin">
                <v:fill opacity="0f"/>
                <v:textbox>
                  <w:txbxContent>
                    <w:p>
                      <w:pPr>
                        <w:pStyle w:val="Plaatsingfiguur"/>
                        <w:rPr>
                          <w:rStyle w:val="Buffer"/>
                        </w:rPr>
                      </w:pPr>
                      <w:r>
                        <w:rPr>
                          <w:rStyle w:val="Buffer"/>
                        </w:rPr>
                        <w:drawing>
                          <wp:inline distT="0" distB="0" distL="0" distR="0">
                            <wp:extent cx="2868295" cy="20205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7872" t="10497" r="7872" b="10497"/>
                                    <a:stretch>
                                      <a:fillRect/>
                                    </a:stretch>
                                  </pic:blipFill>
                                  <pic:spPr bwMode="auto">
                                    <a:xfrm>
                                      <a:off x="0" y="0"/>
                                      <a:ext cx="2868295" cy="202057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rStyle w:val="Buffer"/>
                        </w:rPr>
                      </w:pPr>
                      <w:bookmarkStart w:id="24" w:name="_Ref403899767"/>
                      <w:r>
                        <w:rPr>
                          <w:rStyle w:val="Buffer"/>
                        </w:rPr>
                        <w:t xml:space="preserve">Figure </w:t>
                      </w:r>
                      <w:r>
                        <w:fldChar w:fldCharType="begin"/>
                      </w:r>
                      <w:r>
                        <w:rPr>
                          <w:rStyle w:val="Buffer"/>
                        </w:rPr>
                        <w:instrText> STYLEREF 1 \s </w:instrText>
                      </w:r>
                      <w:r>
                        <w:rPr>
                          <w:rStyle w:val="Buffer"/>
                        </w:rPr>
                        <w:fldChar w:fldCharType="separate"/>
                      </w:r>
                      <w:bookmarkStart w:id="25" w:name="__Fieldmark__13_4042815248"/>
                      <w:r>
                        <w:rPr>
                          <w:rStyle w:val="Buffer"/>
                          <w:lang w:val="en-US"/>
                        </w:rPr>
                        <w:t>4</w:t>
                      </w:r>
                      <w:r>
                        <w:rPr>
                          <w:rStyle w:val="Buffer"/>
                          <w:lang w:val="en-US"/>
                        </w:rPr>
                      </w:r>
                      <w:r>
                        <w:rPr>
                          <w:rStyle w:val="Buffer"/>
                        </w:rPr>
                        <w:fldChar w:fldCharType="end"/>
                      </w:r>
                      <w:bookmarkEnd w:id="25"/>
                      <w:r>
                        <w:rPr>
                          <w:rStyle w:val="Buffer"/>
                        </w:rPr>
                        <w:t>–</w:t>
                      </w:r>
                      <w:r>
                        <w:rPr>
                          <w:rStyle w:val="Buffer"/>
                        </w:rPr>
                        <w:fldChar w:fldCharType="begin"/>
                      </w:r>
                      <w:r>
                        <w:rPr>
                          <w:rStyle w:val="Buffer"/>
                        </w:rPr>
                        <w:instrText> SEQ Figure \* ARABIC </w:instrText>
                      </w:r>
                      <w:r>
                        <w:rPr>
                          <w:rStyle w:val="Buffer"/>
                        </w:rPr>
                        <w:fldChar w:fldCharType="separate"/>
                      </w:r>
                      <w:r>
                        <w:rPr>
                          <w:rStyle w:val="Buffer"/>
                        </w:rPr>
                        <w:t>2</w:t>
                      </w:r>
                      <w:r>
                        <w:rPr>
                          <w:rStyle w:val="Buffer"/>
                        </w:rPr>
                        <w:fldChar w:fldCharType="end"/>
                      </w:r>
                      <w:bookmarkEnd w:id="24"/>
                      <w:r>
                        <w:rPr>
                          <w:rStyle w:val="Buffer"/>
                        </w:rPr>
                        <w:t xml:space="preserve">. Discrepancy between a multiple univariate reference region and a single multivariate reference region. Plotted horizontally and vertically are the probability densities of analyte 1 and 2 of </w:t>
                      </w:r>
                      <w:r>
                        <w:rPr>
                          <w:rStyle w:val="Buffer"/>
                        </w:rPr>
                        <w:fldChar w:fldCharType="begin"/>
                      </w:r>
                      <w:r>
                        <w:rPr>
                          <w:rStyle w:val="Buffer"/>
                        </w:rPr>
                        <w:instrText> REF _Ref422794869 \h </w:instrText>
                      </w:r>
                      <w:r>
                        <w:rPr>
                          <w:rStyle w:val="Buffer"/>
                        </w:rPr>
                        <w:fldChar w:fldCharType="separate"/>
                      </w:r>
                      <w:r>
                        <w:rPr>
                          <w:rStyle w:val="Buffer"/>
                        </w:rPr>
                        <w:t>Figure  4 –1</w:t>
                      </w:r>
                      <w:r>
                        <w:rPr>
                          <w:rStyle w:val="Buffer"/>
                        </w:rPr>
                        <w:fldChar w:fldCharType="end"/>
                      </w:r>
                      <w:r>
                        <w:rPr>
                          <w:rStyle w:val="Buffer"/>
                        </w:rPr>
                        <w:t xml:space="preserve">, respectively. Using the region enclosed by the two univariate reference intervals as a reference region, observations 1 and 2 are a false negative and a false positive observation, respectively when the 95% reference ellipse is taken as the standard </w:t>
                      </w:r>
                      <w:r>
                        <w:fldChar w:fldCharType="begin"/>
                      </w:r>
                      <w:r>
                        <w:rPr>
                          <w:rStyle w:val="Buffer"/>
                        </w:rPr>
                        <w:instrText> ADDIN ENRf8 _x0001_</w:instrText>
                      </w:r>
                      <w:r>
                        <w:rPr>
                          <w:rStyle w:val="Buffer"/>
                        </w:rPr>
                        <w:fldChar w:fldCharType="separate"/>
                      </w:r>
                      <w:bookmarkStart w:id="26" w:name="__Fieldmark__14_4042815248"/>
                      <w:r>
                        <w:rPr>
                          <w:rStyle w:val="Buffer"/>
                        </w:rPr>
                        <w:t>[7, 20]</w:t>
                      </w:r>
                      <w:r>
                        <w:rPr>
                          <w:rStyle w:val="Buffer"/>
                        </w:rPr>
                      </w:r>
                      <w:r>
                        <w:rPr>
                          <w:rStyle w:val="Buffer"/>
                        </w:rPr>
                        <w:fldChar w:fldCharType="end"/>
                      </w:r>
                      <w:bookmarkEnd w:id="26"/>
                      <w:r>
                        <w:rPr>
                          <w:rStyle w:val="Buffer"/>
                        </w:rPr>
                        <w:t>.</w:t>
                      </w:r>
                    </w:p>
                  </w:txbxContent>
                </v:textbox>
                <w10:wrap type="square" side="largest"/>
              </v:rect>
            </w:pict>
          </mc:Fallback>
        </mc:AlternateContent>
      </w:r>
    </w:p>
    <w:p>
      <w:pPr>
        <w:pStyle w:val="Heading2"/>
        <w:numPr>
          <w:ilvl w:val="1"/>
          <w:numId w:val="1"/>
        </w:numPr>
        <w:rPr/>
      </w:pPr>
      <w:r>
        <w:rPr/>
        <w:t>Materials and methods</w:t>
      </w:r>
    </w:p>
    <w:p>
      <w:pPr>
        <w:pStyle w:val="Heading3"/>
        <w:numPr>
          <w:ilvl w:val="2"/>
          <w:numId w:val="1"/>
        </w:numPr>
        <w:rPr/>
      </w:pPr>
      <w:r>
        <w:rPr/>
        <w:t>Patient data</w:t>
      </w:r>
    </w:p>
    <w:p>
      <w:pPr>
        <w:pStyle w:val="Normal"/>
        <w:rPr/>
      </w:pPr>
      <w:r>
        <w:rPr/>
        <w:t xml:space="preserve">For the analyses, the data sets presented in Chapter </w:t>
      </w:r>
      <w:r>
        <w:rPr/>
        <w:fldChar w:fldCharType="begin"/>
      </w:r>
      <w:r>
        <w:rPr/>
        <w:instrText> REF _Ref422818741 \r \h </w:instrText>
      </w:r>
      <w:r>
        <w:rPr/>
        <w:fldChar w:fldCharType="separate"/>
      </w:r>
      <w:r>
        <w:rPr/>
        <w:t>Error: Reference source not found</w:t>
      </w:r>
      <w:r>
        <w:rPr/>
        <w:fldChar w:fldCharType="end"/>
      </w:r>
      <w:r>
        <w:rPr/>
        <w:t xml:space="preserve"> were used; </w:t>
      </w:r>
      <w:r>
        <w:rPr>
          <w:rStyle w:val="Nietafbreken"/>
          <w:i/>
        </w:rPr>
        <w:t>AZRbe</w:t>
      </w:r>
      <w:r>
        <w:rPr/>
        <w:t xml:space="preserve">, </w:t>
      </w:r>
      <w:r>
        <w:rPr>
          <w:rStyle w:val="Nietafbreken"/>
          <w:i/>
        </w:rPr>
        <w:t>OLVGbe</w:t>
      </w:r>
      <w:r>
        <w:rPr/>
        <w:t xml:space="preserve">, </w:t>
      </w:r>
      <w:r>
        <w:rPr>
          <w:rStyle w:val="Nietafbreken"/>
          <w:i/>
        </w:rPr>
        <w:t>OLVGab</w:t>
      </w:r>
      <w:r>
        <w:rPr/>
        <w:t xml:space="preserve">, </w:t>
      </w:r>
      <w:r>
        <w:rPr>
          <w:rStyle w:val="Nietafbreken"/>
          <w:i/>
        </w:rPr>
        <w:t>SKZbe</w:t>
      </w:r>
      <w:r>
        <w:rPr/>
        <w:t xml:space="preserve">, </w:t>
      </w:r>
      <w:r>
        <w:rPr>
          <w:rStyle w:val="Nietafbreken"/>
          <w:i/>
        </w:rPr>
        <w:t>ELIbe</w:t>
      </w:r>
      <w:r>
        <w:rPr/>
        <w:t xml:space="preserve"> and </w:t>
      </w:r>
      <w:r>
        <w:rPr>
          <w:rStyle w:val="Nietafbreken"/>
          <w:i/>
        </w:rPr>
        <w:t>ELIab</w:t>
      </w:r>
      <w:r>
        <w:rPr/>
        <w:t>. For each data set, the transformation matrix T was determined according to the descriptions in the preceding chapter. Each case in the original data set was then transformed with the transformation matrix T yielding new data sets of rotated principal component values PC1', PC2' and PC3'. The bivariate distributions of PC1' and PC2' are the input for the calculations presented below.</w:t>
      </w:r>
    </w:p>
    <w:p>
      <w:pPr>
        <w:pStyle w:val="Heading3"/>
        <w:numPr>
          <w:ilvl w:val="2"/>
          <w:numId w:val="1"/>
        </w:numPr>
        <w:rPr/>
      </w:pPr>
      <w:r>
        <w:rPr/>
        <w:t>The multivariate reference model</w:t>
      </w:r>
    </w:p>
    <w:p>
      <w:pPr>
        <w:pStyle w:val="Normal"/>
        <w:rPr/>
      </w:pPr>
      <w:r>
        <w:rPr/>
        <w:t>The multivariate reference model is defined as follows. Assuming a theoretical multivariate Gaussian distribution with a known mean vector and variance-covariance matrix (</w:t>
      </w:r>
      <w:r>
        <w:rPr>
          <w:rFonts w:eastAsia="Symbol" w:cs="Symbol" w:ascii="Symbol" w:hAnsi="Symbol"/>
          <w:b/>
        </w:rPr>
        <w:t></w:t>
      </w:r>
      <w:r>
        <w:rPr/>
        <w:t>,</w:t>
      </w:r>
      <w:r>
        <w:rPr>
          <w:rFonts w:eastAsia="Symbol" w:cs="Symbol" w:ascii="Symbol" w:hAnsi="Symbol"/>
        </w:rPr>
        <w:t></w:t>
      </w:r>
      <w:r>
        <w:rPr/>
        <w:t xml:space="preserve">) the squared Mahalanobis distances between a vector </w:t>
      </w:r>
      <w:r>
        <w:rPr>
          <w:b/>
        </w:rPr>
        <w:t>x</w:t>
      </w:r>
      <w:r>
        <w:rPr/>
        <w:t xml:space="preserve"> and the mean </w:t>
      </w:r>
      <w:r>
        <w:rPr>
          <w:rFonts w:eastAsia="Symbol" w:cs="Symbol" w:ascii="Symbol" w:hAnsi="Symbol"/>
          <w:b/>
        </w:rPr>
        <w:t></w:t>
      </w:r>
      <w:r>
        <w:rPr/>
        <w:t>:</w:t>
      </w:r>
    </w:p>
    <w:p>
      <w:pPr>
        <w:pStyle w:val="Vergelijking"/>
        <w:rPr/>
      </w:pPr>
      <w:r>
        <w:rPr>
          <w:i/>
        </w:rPr>
        <w:tab/>
      </w:r>
      <w:bookmarkStart w:id="27" w:name="_Ref403898503"/>
      <w:r>
        <w:rPr>
          <w:rStyle w:val="Dkwadraat"/>
          <w:i/>
        </w:rPr>
        <w:t>d</w:t>
      </w:r>
      <w:r>
        <w:rPr>
          <w:rStyle w:val="Dkwadraat"/>
          <w:vertAlign w:val="superscript"/>
        </w:rPr>
        <w:t>2</w:t>
      </w:r>
      <w:r>
        <w:rPr/>
        <w:t xml:space="preserve"> = (</w:t>
      </w:r>
      <w:r>
        <w:rPr>
          <w:b/>
        </w:rPr>
        <w:t>x</w:t>
      </w:r>
      <w:r>
        <w:rPr>
          <w:i/>
        </w:rPr>
        <w:t xml:space="preserve"> </w:t>
      </w:r>
      <w:r>
        <w:rPr/>
        <w:t xml:space="preserve">- </w:t>
      </w:r>
      <w:r>
        <w:rPr>
          <w:rFonts w:eastAsia="Symbol" w:cs="Symbol" w:ascii="Symbol" w:hAnsi="Symbol"/>
          <w:b/>
        </w:rPr>
        <w:t></w:t>
      </w:r>
      <w:r>
        <w:rPr/>
        <w:t>)</w:t>
      </w:r>
      <w:r>
        <w:rPr>
          <w:smallCaps/>
          <w:vertAlign w:val="superscript"/>
        </w:rPr>
        <w:t>t</w:t>
      </w:r>
      <w:r>
        <w:rPr/>
        <w:t xml:space="preserve"> </w:t>
      </w:r>
      <w:r>
        <w:rPr>
          <w:rFonts w:eastAsia="Symbol" w:cs="Symbol" w:ascii="Symbol" w:hAnsi="Symbol"/>
        </w:rPr>
        <w:t></w:t>
      </w:r>
      <w:r>
        <w:rPr>
          <w:vertAlign w:val="superscript"/>
        </w:rPr>
        <w:t>-1</w:t>
      </w:r>
      <w:r>
        <w:rPr/>
        <w:t xml:space="preserve"> (</w:t>
      </w:r>
      <w:r>
        <w:rPr>
          <w:b/>
        </w:rPr>
        <w:t>x</w:t>
      </w:r>
      <w:r>
        <w:rPr>
          <w:i/>
        </w:rPr>
        <w:t xml:space="preserve"> </w:t>
      </w:r>
      <w:r>
        <w:rPr/>
        <w:t>-</w:t>
      </w:r>
      <w:r>
        <w:rPr>
          <w:b/>
        </w:rPr>
        <w:t xml:space="preserve"> </w:t>
      </w:r>
      <w:r>
        <w:rPr>
          <w:rFonts w:eastAsia="Symbol" w:cs="Symbol" w:ascii="Symbol" w:hAnsi="Symbol"/>
          <w:b/>
        </w:rPr>
        <w:t></w:t>
      </w:r>
      <w:r>
        <w:rPr/>
        <w:t>)</w:t>
        <w:tab/>
        <w:t>(</w:t>
      </w:r>
      <w:r>
        <w:fldChar w:fldCharType="begin"/>
      </w:r>
      <w:r>
        <w:rPr/>
        <w:instrText> STYLEREF 1 \s </w:instrText>
      </w:r>
      <w:r>
        <w:rPr/>
        <w:fldChar w:fldCharType="separate"/>
      </w:r>
      <w:bookmarkStart w:id="28" w:name="Equation_Mahalanobis"/>
      <w:bookmarkStart w:id="29" w:name="_Ref403897524"/>
      <w:bookmarkStart w:id="30" w:name="__Fieldmark__15_4042815248"/>
      <w:bookmarkEnd w:id="27"/>
      <w:r>
        <w:rPr>
          <w:lang w:val="en-US"/>
        </w:rPr>
        <w:t>4</w:t>
      </w:r>
      <w:r>
        <w:rPr>
          <w:lang w:val="en-US"/>
        </w:rPr>
      </w:r>
      <w:r>
        <w:rPr/>
        <w:fldChar w:fldCharType="end"/>
      </w:r>
      <w:bookmarkEnd w:id="30"/>
      <w:r>
        <w:rPr/>
        <w:t>–</w:t>
      </w:r>
      <w:r>
        <w:rPr/>
        <w:fldChar w:fldCharType="begin"/>
      </w:r>
      <w:r>
        <w:rPr/>
        <w:instrText> SEQ Equation \* ARABIC </w:instrText>
      </w:r>
      <w:r>
        <w:rPr/>
        <w:fldChar w:fldCharType="separate"/>
      </w:r>
      <w:r>
        <w:rPr/>
        <w:t>1</w:t>
      </w:r>
      <w:r>
        <w:rPr/>
        <w:fldChar w:fldCharType="end"/>
      </w:r>
      <w:bookmarkEnd w:id="28"/>
      <w:r>
        <w:rPr/>
        <w:t>)</w:t>
      </w:r>
      <w:bookmarkEnd w:id="29"/>
    </w:p>
    <w:p>
      <w:pPr>
        <w:pStyle w:val="Normal"/>
        <w:rPr/>
      </w:pPr>
      <w:r>
        <w:rPr/>
        <w:t xml:space="preserve">are </w:t>
      </w:r>
      <w:r>
        <w:rPr>
          <w:rFonts w:eastAsia="Symbol" w:cs="Symbol" w:ascii="Symbol" w:hAnsi="Symbol"/>
        </w:rPr>
        <w:t></w:t>
      </w:r>
      <w:r>
        <w:rPr>
          <w:vertAlign w:val="superscript"/>
        </w:rPr>
        <w:t>2</w:t>
      </w:r>
      <w:r>
        <w:rPr/>
        <w:t>(</w:t>
      </w:r>
      <w:r>
        <w:rPr>
          <w:i/>
        </w:rPr>
        <w:t>k</w:t>
      </w:r>
      <w:r>
        <w:rPr/>
        <w:t xml:space="preserve">)-distributed where </w:t>
      </w:r>
      <w:r>
        <w:rPr>
          <w:i/>
        </w:rPr>
        <w:t>k</w:t>
      </w:r>
      <w:r>
        <w:rPr/>
        <w:t xml:space="preserve"> is the dimensionality of the multivariate model </w:t>
      </w:r>
      <w:r>
        <w:fldChar w:fldCharType="begin"/>
      </w:r>
      <w:r>
        <w:rPr/>
        <w:instrText> ADDIN ENRf8 _x0001_</w:instrText>
      </w:r>
      <w:r>
        <w:rPr/>
        <w:fldChar w:fldCharType="separate"/>
      </w:r>
      <w:bookmarkStart w:id="31" w:name="__Fieldmark__16_4042815248"/>
      <w:r>
        <w:rPr/>
        <w:t>[21]</w:t>
      </w:r>
      <w:r>
        <w:rPr/>
      </w:r>
      <w:r>
        <w:rPr/>
        <w:fldChar w:fldCharType="end"/>
      </w:r>
      <w:bookmarkEnd w:id="31"/>
      <w:r>
        <w:rPr/>
        <w:t xml:space="preserve">. The superscript </w:t>
      </w:r>
      <w:r>
        <w:rPr>
          <w:smallCaps/>
        </w:rPr>
        <w:t xml:space="preserve">t </w:t>
      </w:r>
      <w:r>
        <w:rPr/>
        <w:t xml:space="preserve">stands for the transposition of a column-vector to a row-vector, </w:t>
      </w:r>
      <w:r>
        <w:rPr>
          <w:b/>
        </w:rPr>
        <w:t>x</w:t>
      </w:r>
      <w:r>
        <w:rPr/>
        <w:t xml:space="preserve"> is the observation vector and </w:t>
      </w:r>
      <w:r>
        <w:rPr>
          <w:rFonts w:eastAsia="Symbol" w:cs="Symbol" w:ascii="Symbol" w:hAnsi="Symbol"/>
        </w:rPr>
        <w:t></w:t>
      </w:r>
      <w:r>
        <w:rPr>
          <w:vertAlign w:val="superscript"/>
        </w:rPr>
        <w:t>-1</w:t>
      </w:r>
      <w:r>
        <w:rPr/>
        <w:t xml:space="preserve"> is the inverse of the variance-covariance matrix. The mean vector </w:t>
      </w:r>
      <w:r>
        <w:rPr>
          <w:rFonts w:eastAsia="Symbol" w:cs="Symbol" w:ascii="Symbol" w:hAnsi="Symbol"/>
          <w:b/>
        </w:rPr>
        <w:t></w:t>
      </w:r>
      <w:r>
        <w:rPr/>
        <w:t xml:space="preserve"> and the variance-covariance matrix </w:t>
      </w:r>
      <w:r>
        <w:rPr>
          <w:rFonts w:eastAsia="Symbol" w:cs="Symbol" w:ascii="Symbol" w:hAnsi="Symbol"/>
        </w:rPr>
        <w:t></w:t>
      </w:r>
      <w:r>
        <w:rPr/>
        <w:t xml:space="preserve"> are called the model parameters. The 95% multivariate reference region includes all cases </w:t>
      </w:r>
      <w:r>
        <w:rPr>
          <w:b/>
        </w:rPr>
        <w:t>x</w:t>
      </w:r>
      <w:r>
        <w:rPr/>
        <w:t xml:space="preserve"> with a </w:t>
      </w:r>
      <w:r>
        <w:rPr>
          <w:rStyle w:val="Dkwadraat"/>
          <w:i/>
        </w:rPr>
        <w:t>d</w:t>
      </w:r>
      <w:r>
        <w:rPr>
          <w:rStyle w:val="Dkwadraat"/>
          <w:vertAlign w:val="superscript"/>
        </w:rPr>
        <w:t>2</w:t>
      </w:r>
      <w:r>
        <w:rPr/>
        <w:t xml:space="preserve">smaller than or equal to the 0.95 fractile of a </w:t>
      </w:r>
      <w:r>
        <w:rPr>
          <w:rFonts w:eastAsia="Symbol" w:cs="Symbol" w:ascii="Symbol" w:hAnsi="Symbol"/>
        </w:rPr>
        <w:t></w:t>
      </w:r>
      <w:r>
        <w:rPr>
          <w:vertAlign w:val="superscript"/>
        </w:rPr>
        <w:t>2</w:t>
      </w:r>
      <w:r>
        <w:rPr/>
        <w:t>(</w:t>
      </w:r>
      <w:r>
        <w:rPr>
          <w:i/>
        </w:rPr>
        <w:t>k</w:t>
      </w:r>
      <w:r>
        <w:rPr/>
        <w:t xml:space="preserve">)-distribution </w:t>
      </w:r>
      <w:r>
        <w:fldChar w:fldCharType="begin"/>
      </w:r>
      <w:r>
        <w:rPr/>
        <w:instrText> ADDIN ENRf8 _x0001_</w:instrText>
      </w:r>
      <w:r>
        <w:rPr/>
        <w:fldChar w:fldCharType="separate"/>
      </w:r>
      <w:bookmarkStart w:id="32" w:name="__Fieldmark__17_4042815248"/>
      <w:r>
        <w:rPr/>
        <w:t>[22]</w:t>
      </w:r>
      <w:r>
        <w:rPr/>
      </w:r>
      <w:r>
        <w:rPr/>
        <w:fldChar w:fldCharType="end"/>
      </w:r>
      <w:bookmarkEnd w:id="32"/>
      <w:r>
        <w:rPr/>
        <w:t xml:space="preserve">. In practice, the model parameters are unknown and replaced by the sample estimates </w:t>
      </w:r>
      <w:r>
        <w:rPr>
          <w:b/>
        </w:rPr>
        <w:t>m</w:t>
      </w:r>
      <w:r>
        <w:rPr/>
        <w:t xml:space="preserve"> and S, respectively.</w:t>
      </w:r>
    </w:p>
    <w:p>
      <w:pPr>
        <w:pStyle w:val="Normal"/>
        <w:rPr/>
      </w:pPr>
      <w:r>
        <w:rPr/>
        <w:t xml:space="preserve">To correct for the uncertainty in the sample estimates of the mean vector </w:t>
      </w:r>
      <w:r>
        <w:rPr>
          <w:b/>
        </w:rPr>
        <w:t>m</w:t>
      </w:r>
      <w:r>
        <w:rPr/>
        <w:t xml:space="preserve"> and the variance-covariance matrix S when evaluating single multivariate observations, Chew and Albert proposed to use a 0.95 cut-off fractile that is based on the </w:t>
      </w:r>
      <w:r>
        <w:rPr>
          <w:i/>
        </w:rPr>
        <w:t>F</w:t>
      </w:r>
      <w:r>
        <w:rPr/>
        <w:t xml:space="preserve">-distribution </w:t>
      </w:r>
      <w:r>
        <w:fldChar w:fldCharType="begin"/>
      </w:r>
      <w:r>
        <w:rPr/>
        <w:instrText> ADDIN ENRf8 _x0001_</w:instrText>
      </w:r>
      <w:r>
        <w:rPr/>
        <w:fldChar w:fldCharType="separate"/>
      </w:r>
      <w:bookmarkStart w:id="33" w:name="__Fieldmark__18_4042815248"/>
      <w:r>
        <w:rPr/>
        <w:t>[17, 23]</w:t>
      </w:r>
      <w:r>
        <w:rPr/>
      </w:r>
      <w:r>
        <w:rPr/>
        <w:fldChar w:fldCharType="end"/>
      </w:r>
      <w:bookmarkEnd w:id="33"/>
      <w:r>
        <w:rPr/>
        <w:t>;</w:t>
      </w:r>
    </w:p>
    <w:p>
      <w:pPr>
        <w:pStyle w:val="Vergelijking"/>
        <w:rPr/>
      </w:pPr>
      <w:r>
        <w:rPr/>
        <w:tab/>
      </w:r>
      <w:r>
        <w:rPr>
          <w:i/>
        </w:rPr>
        <w:t>C</w:t>
      </w:r>
      <w:r>
        <w:rPr/>
        <w:t xml:space="preserve"> = </w:t>
      </w:r>
      <w:r>
        <w:rPr>
          <w:i/>
        </w:rPr>
        <w:t>k</w:t>
      </w:r>
      <w:r>
        <w:rPr/>
        <w:t>(</w:t>
      </w:r>
      <w:r>
        <w:rPr>
          <w:i/>
        </w:rPr>
        <w:t>N</w:t>
      </w:r>
      <w:r>
        <w:rPr>
          <w:position w:val="6"/>
          <w:sz w:val="14"/>
        </w:rPr>
        <w:t>2</w:t>
      </w:r>
      <w:r>
        <w:rPr/>
        <w:t xml:space="preserve"> </w:t>
      </w:r>
      <w:r>
        <w:rPr>
          <w:rFonts w:eastAsia="Symbol" w:cs="Symbol" w:ascii="Symbol" w:hAnsi="Symbol"/>
        </w:rPr>
        <w:t></w:t>
      </w:r>
      <w:r>
        <w:rPr/>
        <w:t xml:space="preserve"> 1) </w:t>
      </w:r>
      <w:r>
        <w:rPr>
          <w:i/>
        </w:rPr>
        <w:t>F</w:t>
      </w:r>
      <w:r>
        <w:rPr/>
        <w:t>(0.95;</w:t>
      </w:r>
      <w:r>
        <w:rPr>
          <w:i/>
        </w:rPr>
        <w:t>k</w:t>
      </w:r>
      <w:r>
        <w:rPr/>
        <w:t>,</w:t>
      </w:r>
      <w:r>
        <w:rPr>
          <w:i/>
        </w:rPr>
        <w:t xml:space="preserve">N </w:t>
      </w:r>
      <w:r>
        <w:rPr>
          <w:rFonts w:eastAsia="Symbol" w:cs="Symbol" w:ascii="Symbol" w:hAnsi="Symbol"/>
        </w:rPr>
        <w:t></w:t>
      </w:r>
      <w:r>
        <w:rPr/>
        <w:t xml:space="preserve"> </w:t>
      </w:r>
      <w:r>
        <w:rPr>
          <w:i/>
        </w:rPr>
        <w:t>k</w:t>
      </w:r>
      <w:r>
        <w:rPr/>
        <w:t xml:space="preserve">) / </w:t>
      </w:r>
      <w:r>
        <w:rPr>
          <w:i/>
        </w:rPr>
        <w:t>N</w:t>
      </w:r>
      <w:r>
        <w:rPr/>
        <w:t>(</w:t>
      </w:r>
      <w:r>
        <w:rPr>
          <w:i/>
        </w:rPr>
        <w:t xml:space="preserve">N </w:t>
      </w:r>
      <w:r>
        <w:rPr>
          <w:rFonts w:eastAsia="Symbol" w:cs="Symbol" w:ascii="Symbol" w:hAnsi="Symbol"/>
        </w:rPr>
        <w:t></w:t>
      </w:r>
      <w:r>
        <w:rPr/>
        <w:t xml:space="preserve"> </w:t>
      </w:r>
      <w:r>
        <w:rPr>
          <w:i/>
        </w:rPr>
        <w:t>k</w:t>
      </w:r>
      <w:r>
        <w:rPr/>
        <w:t>)</w:t>
        <w:tab/>
        <w:t>(</w:t>
      </w:r>
      <w:r>
        <w:fldChar w:fldCharType="begin"/>
      </w:r>
      <w:r>
        <w:rPr/>
        <w:instrText> STYLEREF 1 \s </w:instrText>
      </w:r>
      <w:r>
        <w:rPr/>
        <w:fldChar w:fldCharType="separate"/>
      </w:r>
      <w:bookmarkStart w:id="34" w:name="Equation_C"/>
      <w:bookmarkStart w:id="35" w:name="__Fieldmark__19_4042815248"/>
      <w:r>
        <w:rPr>
          <w:lang w:val="en-US"/>
        </w:rPr>
        <w:t>4</w:t>
      </w:r>
      <w:r>
        <w:rPr>
          <w:lang w:val="en-US"/>
        </w:rPr>
      </w:r>
      <w:r>
        <w:rPr/>
        <w:fldChar w:fldCharType="end"/>
      </w:r>
      <w:bookmarkEnd w:id="35"/>
      <w:r>
        <w:rPr/>
        <w:t>–</w:t>
      </w:r>
      <w:r>
        <w:rPr/>
        <w:fldChar w:fldCharType="begin"/>
      </w:r>
      <w:r>
        <w:rPr/>
        <w:instrText> SEQ Equation \* ARABIC </w:instrText>
      </w:r>
      <w:r>
        <w:rPr/>
        <w:fldChar w:fldCharType="separate"/>
      </w:r>
      <w:r>
        <w:rPr/>
        <w:t>2</w:t>
      </w:r>
      <w:r>
        <w:rPr/>
        <w:fldChar w:fldCharType="end"/>
      </w:r>
      <w:bookmarkEnd w:id="34"/>
      <w:r>
        <w:rPr/>
        <w:t>)</w:t>
      </w:r>
    </w:p>
    <w:p>
      <w:pPr>
        <w:pStyle w:val="Normal"/>
        <w:rPr/>
      </w:pPr>
      <w:r>
        <w:rPr/>
        <w:t xml:space="preserve">where </w:t>
      </w:r>
      <w:r>
        <w:rPr>
          <w:i/>
        </w:rPr>
        <w:t>k</w:t>
      </w:r>
      <w:r>
        <w:rPr/>
        <w:t xml:space="preserve"> is the number of variables in the analysis, </w:t>
      </w:r>
      <w:r>
        <w:rPr>
          <w:i/>
        </w:rPr>
        <w:t>N</w:t>
      </w:r>
      <w:r>
        <w:rPr/>
        <w:t xml:space="preserve"> is the number of cases and </w:t>
      </w:r>
      <w:r>
        <w:rPr>
          <w:i/>
        </w:rPr>
        <w:t>F</w:t>
      </w:r>
      <w:r>
        <w:rPr/>
        <w:t>(0.95;</w:t>
      </w:r>
      <w:r>
        <w:rPr>
          <w:i/>
        </w:rPr>
        <w:t>k</w:t>
      </w:r>
      <w:r>
        <w:rPr/>
        <w:t>,</w:t>
      </w:r>
      <w:r>
        <w:rPr>
          <w:i/>
        </w:rPr>
        <w:t>N</w:t>
      </w:r>
      <w:r>
        <w:rPr/>
        <w:t xml:space="preserve"> - </w:t>
      </w:r>
      <w:r>
        <w:rPr>
          <w:i/>
        </w:rPr>
        <w:t>k</w:t>
      </w:r>
      <w:r>
        <w:rPr/>
        <w:t xml:space="preserve">) is the 0.95 fractile of the </w:t>
      </w:r>
      <w:r>
        <w:rPr>
          <w:i/>
        </w:rPr>
        <w:t>F</w:t>
      </w:r>
      <w:r>
        <w:rPr/>
        <w:t xml:space="preserve">-distribution for </w:t>
      </w:r>
      <w:r>
        <w:rPr>
          <w:i/>
        </w:rPr>
        <w:t>k</w:t>
      </w:r>
      <w:r>
        <w:rPr/>
        <w:t xml:space="preserve"> and </w:t>
      </w:r>
      <w:r>
        <w:rPr>
          <w:i/>
        </w:rPr>
        <w:t>N</w:t>
      </w:r>
      <w:r>
        <w:rPr/>
        <w:t xml:space="preserve"> - </w:t>
      </w:r>
      <w:r>
        <w:rPr>
          <w:i/>
        </w:rPr>
        <w:t>k</w:t>
      </w:r>
      <w:r>
        <w:rPr/>
        <w:t xml:space="preserve"> degrees of freedom. In geometrical terms, 0.95 fractiles delimit specific regions in </w:t>
      </w:r>
      <w:r>
        <w:rPr>
          <w:i/>
        </w:rPr>
        <w:t>k</w:t>
      </w:r>
      <w:r>
        <w:rPr/>
        <w:t xml:space="preserve">-dimensional space and are known as 95% equal probability ellipses (for </w:t>
      </w:r>
      <w:r>
        <w:rPr>
          <w:i/>
        </w:rPr>
        <w:t>k</w:t>
      </w:r>
      <w:r>
        <w:rPr/>
        <w:t xml:space="preserve"> = 2) or 95% equal probability ellipsoids (for </w:t>
      </w:r>
      <w:r>
        <w:rPr>
          <w:i/>
        </w:rPr>
        <w:t>k</w:t>
      </w:r>
      <w:r>
        <w:rPr/>
        <w:t xml:space="preserve"> &gt; 2). The region delimited by </w:t>
      </w:r>
      <w:r>
        <w:rPr>
          <w:i/>
        </w:rPr>
        <w:t>C</w:t>
      </w:r>
      <w:r>
        <w:rPr/>
        <w:t xml:space="preserve"> is also known as the 95% prediction region </w:t>
      </w:r>
      <w:r>
        <w:fldChar w:fldCharType="begin"/>
      </w:r>
      <w:r>
        <w:rPr/>
        <w:instrText> ADDIN ENRf8 _x0001_</w:instrText>
      </w:r>
      <w:r>
        <w:rPr/>
        <w:fldChar w:fldCharType="separate"/>
      </w:r>
      <w:bookmarkStart w:id="36" w:name="__Fieldmark__20_4042815248"/>
      <w:r>
        <w:rPr/>
        <w:t>[17]</w:t>
      </w:r>
      <w:r>
        <w:rPr/>
      </w:r>
      <w:r>
        <w:rPr/>
        <w:fldChar w:fldCharType="end"/>
      </w:r>
      <w:bookmarkEnd w:id="36"/>
      <w:r>
        <w:rPr/>
        <w:t xml:space="preserve">. </w:t>
      </w:r>
    </w:p>
    <w:p>
      <w:pPr>
        <w:pStyle w:val="Heading3"/>
        <w:numPr>
          <w:ilvl w:val="2"/>
          <w:numId w:val="1"/>
        </w:numPr>
        <w:rPr/>
      </w:pPr>
      <w:r>
        <w:rPr/>
        <w:t>Finding the Gaussian distributed core in a multivariate patient data set</w:t>
      </w:r>
    </w:p>
    <w:p>
      <w:pPr>
        <w:pStyle w:val="Normal"/>
        <w:rPr/>
      </w:pPr>
      <w:r>
        <w:rPr/>
        <w:t>In this section, an iterative trimming procedure is described for the determination of a valid acid-base bivariate 95% prediction region from the PC1' and PC2' values of an ICU patient data distribution. The method assumes that the patient data distribution is composed of two sorts of data; 1) a bivariate Gaussian distributed part of observations at the centre of the distribution (hereafter called the background model distribution) and 2) a contaminating part of outliers in the outer regions of the distribution. The method aims at finding the background model distribution by subsequently removing aberrant observations from the outer regions of the bivariate distribution until the remaining trimmed distribution is found to be bivariate Gaussian.</w:t>
      </w:r>
    </w:p>
    <w:p>
      <w:pPr>
        <w:pStyle w:val="Normal"/>
        <w:rPr/>
      </w:pPr>
      <w:r>
        <w:rPr/>
        <w:t xml:space="preserve">Under the assumption that the remaining observations of a trimmed bivariate distribution belong to a wider bivariate Gaussian distribution, the standard deviations of the marginal distributions of this wider bivariate Gaussian distribution can be approximated by the standard deviations of the trimmed distributions. However, clearly, these approximations are underestimates. Therefore, prior to the construction of the variance-covariance matrix from estimated marginal standard deviations, a correction must be performed. A table with standard deviation correction factors was constructed empirically beforehand as follows. A standard bivariate Gaussian distribution of 6000 cases was generated from two standard univariate Gaussian distributions (mean = 0 and standard deviation = 1) with the use of the SPSS statistical software package (SPSS for Windows release 6.0, Chicago). The resultant bivariate distribution was then trimmed at specific </w:t>
      </w:r>
      <w:r>
        <w:rPr>
          <w:rFonts w:eastAsia="Symbol" w:cs="Symbol" w:ascii="Symbol" w:hAnsi="Symbol"/>
        </w:rPr>
        <w:t></w:t>
      </w:r>
      <w:r>
        <w:rPr>
          <w:vertAlign w:val="superscript"/>
        </w:rPr>
        <w:t>2</w:t>
      </w:r>
      <w:r>
        <w:rPr/>
        <w:t xml:space="preserve">(2) fractiles. At each </w:t>
      </w:r>
      <w:r>
        <w:rPr>
          <w:rFonts w:eastAsia="Symbol" w:cs="Symbol" w:ascii="Symbol" w:hAnsi="Symbol"/>
        </w:rPr>
        <w:t></w:t>
      </w:r>
      <w:r>
        <w:rPr>
          <w:vertAlign w:val="superscript"/>
        </w:rPr>
        <w:t>2</w:t>
      </w:r>
      <w:r>
        <w:rPr/>
        <w:t xml:space="preserve"> cut-off fractile, the correction factor was determined by dividing the standard deviation of the original marginal distribution by the standard deviation of the trimmed distribution. In</w:t>
      </w:r>
      <w:r>
        <w:rPr>
          <w:b/>
        </w:rPr>
        <w:t xml:space="preserve"> </w:t>
      </w:r>
      <w:r>
        <w:rPr>
          <w:b/>
        </w:rPr>
        <w:fldChar w:fldCharType="begin"/>
      </w:r>
      <w:r>
        <w:rPr>
          <w:b/>
        </w:rPr>
        <w:instrText> REF _Ref403899529 \h </w:instrText>
      </w:r>
      <w:r>
        <w:rPr>
          <w:b/>
        </w:rPr>
        <w:fldChar w:fldCharType="separate"/>
      </w:r>
      <w:r>
        <w:rPr>
          <w:b/>
        </w:rPr>
        <w:t>Figure  4 –3</w:t>
      </w:r>
      <w:r>
        <w:rPr>
          <w:b/>
        </w:rPr>
        <w:fldChar w:fldCharType="end"/>
      </w:r>
      <w:r>
        <w:rPr/>
        <w:t xml:space="preserve">, correction factors (CF) are plotted for 24 fixed </w:t>
      </w:r>
      <w:r>
        <w:rPr>
          <w:rFonts w:eastAsia="Symbol" w:cs="Symbol" w:ascii="Symbol" w:hAnsi="Symbol"/>
        </w:rPr>
        <w:t></w:t>
      </w:r>
      <w:r>
        <w:rPr>
          <w:vertAlign w:val="superscript"/>
        </w:rPr>
        <w:t>2</w:t>
      </w:r>
      <w:r>
        <w:rPr/>
        <w:t xml:space="preserve"> cut-off fractiles.</w:t>
      </w:r>
      <w:r>
        <mc:AlternateContent>
          <mc:Choice Requires="wps">
            <w:drawing>
              <wp:anchor behindDoc="0" distT="114935" distB="114935" distL="114935" distR="114935" simplePos="0" locked="0" layoutInCell="1" allowOverlap="1" relativeHeight="10">
                <wp:simplePos x="0" y="0"/>
                <wp:positionH relativeFrom="margin">
                  <wp:align>center</wp:align>
                </wp:positionH>
                <wp:positionV relativeFrom="paragraph">
                  <wp:posOffset>3503295</wp:posOffset>
                </wp:positionV>
                <wp:extent cx="5728335" cy="2457450"/>
                <wp:effectExtent l="0" t="0" r="0" b="0"/>
                <wp:wrapTopAndBottom/>
                <wp:docPr id="9" name="Frame5"/>
                <a:graphic xmlns:a="http://schemas.openxmlformats.org/drawingml/2006/main">
                  <a:graphicData uri="http://schemas.microsoft.com/office/word/2010/wordprocessingShape">
                    <wps:wsp>
                      <wps:cNvSpPr txBox="1"/>
                      <wps:spPr>
                        <a:xfrm>
                          <a:off x="0" y="0"/>
                          <a:ext cx="5728335" cy="2457450"/>
                        </a:xfrm>
                        <a:prstGeom prst="rect"/>
                        <a:solidFill>
                          <a:srgbClr val="FFFFFF">
                            <a:alpha val="0"/>
                          </a:srgbClr>
                        </a:solidFill>
                      </wps:spPr>
                      <wps:txbx>
                        <w:txbxContent>
                          <w:p>
                            <w:pPr>
                              <w:pStyle w:val="Plaatsingfiguur"/>
                              <w:keepNext w:val="true"/>
                              <w:rPr>
                                <w:rStyle w:val="Buffer"/>
                              </w:rPr>
                            </w:pPr>
                            <w:r>
                              <w:rPr>
                                <w:rStyle w:val="Buffer"/>
                              </w:rPr>
                              <w:drawing>
                                <wp:inline distT="0" distB="0" distL="0" distR="0">
                                  <wp:extent cx="2994025" cy="20637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rcRect l="3938" t="4809" r="2625" b="8647"/>
                                          <a:stretch>
                                            <a:fillRect/>
                                          </a:stretch>
                                        </pic:blipFill>
                                        <pic:spPr bwMode="auto">
                                          <a:xfrm>
                                            <a:off x="0" y="0"/>
                                            <a:ext cx="2994025" cy="206375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7" w:name="_Ref403899529"/>
                            <w:r>
                              <w:rPr>
                                <w:rStyle w:val="Buffer"/>
                              </w:rPr>
                              <w:t>F</w:t>
                            </w:r>
                            <w:r>
                              <w:rPr/>
                              <w:t xml:space="preserve">igure </w:t>
                            </w:r>
                            <w:r>
                              <w:fldChar w:fldCharType="begin"/>
                            </w:r>
                            <w:r>
                              <w:rPr/>
                              <w:instrText> STYLEREF 1 \s </w:instrText>
                            </w:r>
                            <w:r>
                              <w:rPr/>
                              <w:fldChar w:fldCharType="separate"/>
                            </w:r>
                            <w:bookmarkStart w:id="38" w:name="__Fieldmark__21_4042815248"/>
                            <w:r>
                              <w:rPr>
                                <w:lang w:val="en-US"/>
                              </w:rPr>
                              <w:t>4</w:t>
                            </w:r>
                            <w:r>
                              <w:rPr>
                                <w:lang w:val="en-US"/>
                              </w:rPr>
                            </w:r>
                            <w:r>
                              <w:rPr/>
                              <w:fldChar w:fldCharType="end"/>
                            </w:r>
                            <w:bookmarkEnd w:id="38"/>
                            <w:r>
                              <w:rPr/>
                              <w:t>–</w:t>
                            </w:r>
                            <w:r>
                              <w:rPr/>
                              <w:fldChar w:fldCharType="begin"/>
                            </w:r>
                            <w:r>
                              <w:rPr/>
                              <w:instrText> SEQ Figure \* ARABIC </w:instrText>
                            </w:r>
                            <w:r>
                              <w:rPr/>
                              <w:fldChar w:fldCharType="separate"/>
                            </w:r>
                            <w:r>
                              <w:rPr/>
                              <w:t>3</w:t>
                            </w:r>
                            <w:r>
                              <w:rPr/>
                              <w:fldChar w:fldCharType="end"/>
                            </w:r>
                            <w:bookmarkEnd w:id="37"/>
                            <w:r>
                              <w:rPr/>
                              <w:t xml:space="preserve">. The standard deviation correction factor (CF) at 24 specific </w:t>
                            </w:r>
                            <w:r>
                              <w:rPr>
                                <w:rFonts w:eastAsia="Symbol" w:cs="Symbol" w:ascii="Symbol" w:hAnsi="Symbol"/>
                              </w:rPr>
                              <w:t></w:t>
                            </w:r>
                            <w:r>
                              <w:rPr>
                                <w:vertAlign w:val="superscript"/>
                              </w:rPr>
                              <w:t>2</w:t>
                            </w:r>
                            <w:r>
                              <w:rPr/>
                              <w:t xml:space="preserve"> cut-off fractiles for a bivariate Gaussian distribution.</w:t>
                            </w:r>
                          </w:p>
                        </w:txbxContent>
                      </wps:txbx>
                      <wps:bodyPr anchor="t" lIns="0" tIns="0" rIns="0" bIns="0">
                        <a:noAutofit/>
                      </wps:bodyPr>
                    </wps:wsp>
                  </a:graphicData>
                </a:graphic>
              </wp:anchor>
            </w:drawing>
          </mc:Choice>
          <mc:Fallback>
            <w:pict>
              <v:rect fillcolor="#FFFFFF" style="position:absolute;rotation:0;width:451.05pt;height:193.5pt;mso-wrap-distance-left:9.05pt;mso-wrap-distance-right:9.05pt;mso-wrap-distance-top:9.05pt;mso-wrap-distance-bottom:9.05pt;margin-top:275.85pt;mso-position-vertical-relative:text;margin-left:8.35pt;mso-position-horizontal:center;mso-position-horizontal-relative:margin">
                <v:fill opacity="0f"/>
                <v:textbox>
                  <w:txbxContent>
                    <w:p>
                      <w:pPr>
                        <w:pStyle w:val="Plaatsingfiguur"/>
                        <w:keepNext w:val="true"/>
                        <w:rPr>
                          <w:rStyle w:val="Buffer"/>
                        </w:rPr>
                      </w:pPr>
                      <w:r>
                        <w:rPr>
                          <w:rStyle w:val="Buffer"/>
                        </w:rPr>
                        <w:drawing>
                          <wp:inline distT="0" distB="0" distL="0" distR="0">
                            <wp:extent cx="2994025" cy="20637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3938" t="4809" r="2625" b="8647"/>
                                    <a:stretch>
                                      <a:fillRect/>
                                    </a:stretch>
                                  </pic:blipFill>
                                  <pic:spPr bwMode="auto">
                                    <a:xfrm>
                                      <a:off x="0" y="0"/>
                                      <a:ext cx="2994025" cy="206375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9" w:name="_Ref403899529"/>
                      <w:r>
                        <w:rPr>
                          <w:rStyle w:val="Buffer"/>
                        </w:rPr>
                        <w:t>F</w:t>
                      </w:r>
                      <w:r>
                        <w:rPr/>
                        <w:t xml:space="preserve">igure </w:t>
                      </w:r>
                      <w:r>
                        <w:fldChar w:fldCharType="begin"/>
                      </w:r>
                      <w:r>
                        <w:rPr/>
                        <w:instrText> STYLEREF 1 \s </w:instrText>
                      </w:r>
                      <w:r>
                        <w:rPr/>
                        <w:fldChar w:fldCharType="separate"/>
                      </w:r>
                      <w:bookmarkStart w:id="40" w:name="__Fieldmark__21_4042815248"/>
                      <w:r>
                        <w:rPr>
                          <w:lang w:val="en-US"/>
                        </w:rPr>
                        <w:t>4</w:t>
                      </w:r>
                      <w:r>
                        <w:rPr>
                          <w:lang w:val="en-US"/>
                        </w:rPr>
                      </w:r>
                      <w:r>
                        <w:rPr/>
                        <w:fldChar w:fldCharType="end"/>
                      </w:r>
                      <w:bookmarkEnd w:id="40"/>
                      <w:r>
                        <w:rPr/>
                        <w:t>–</w:t>
                      </w:r>
                      <w:r>
                        <w:rPr/>
                        <w:fldChar w:fldCharType="begin"/>
                      </w:r>
                      <w:r>
                        <w:rPr/>
                        <w:instrText> SEQ Figure \* ARABIC </w:instrText>
                      </w:r>
                      <w:r>
                        <w:rPr/>
                        <w:fldChar w:fldCharType="separate"/>
                      </w:r>
                      <w:r>
                        <w:rPr/>
                        <w:t>3</w:t>
                      </w:r>
                      <w:r>
                        <w:rPr/>
                        <w:fldChar w:fldCharType="end"/>
                      </w:r>
                      <w:bookmarkEnd w:id="39"/>
                      <w:r>
                        <w:rPr/>
                        <w:t xml:space="preserve">. The standard deviation correction factor (CF) at 24 specific </w:t>
                      </w:r>
                      <w:r>
                        <w:rPr>
                          <w:rFonts w:eastAsia="Symbol" w:cs="Symbol" w:ascii="Symbol" w:hAnsi="Symbol"/>
                        </w:rPr>
                        <w:t></w:t>
                      </w:r>
                      <w:r>
                        <w:rPr>
                          <w:vertAlign w:val="superscript"/>
                        </w:rPr>
                        <w:t>2</w:t>
                      </w:r>
                      <w:r>
                        <w:rPr/>
                        <w:t xml:space="preserve"> cut-off fractiles for a bivariate Gaussian distribution.</w:t>
                      </w:r>
                    </w:p>
                  </w:txbxContent>
                </v:textbox>
                <w10:wrap type="topAndBottom"/>
              </v:rect>
            </w:pict>
          </mc:Fallback>
        </mc:AlternateContent>
      </w:r>
    </w:p>
    <w:p>
      <w:pPr>
        <w:pStyle w:val="Normal"/>
        <w:rPr/>
      </w:pPr>
      <w:r>
        <w:rPr/>
        <w:t xml:space="preserve">Trimming the bivariate distribution now proceeds as follows (see also </w:t>
      </w:r>
      <w:r>
        <w:rPr/>
        <w:fldChar w:fldCharType="begin"/>
      </w:r>
      <w:r>
        <w:rPr/>
        <w:instrText> REF _Ref403897709 \h </w:instrText>
      </w:r>
      <w:r>
        <w:rPr/>
        <w:fldChar w:fldCharType="separate"/>
      </w:r>
      <w:r>
        <w:rPr/>
        <w:t>Figure  4 –4</w:t>
      </w:r>
      <w:r>
        <w:rPr/>
        <w:fldChar w:fldCharType="end"/>
      </w:r>
      <w:r>
        <w:rPr/>
        <w:t>).</w:t>
      </w:r>
    </w:p>
    <w:p>
      <w:pPr>
        <w:pStyle w:val="Normal"/>
        <w:tabs>
          <w:tab w:val="left" w:pos="284" w:leader="none"/>
        </w:tabs>
        <w:ind w:left="284" w:hanging="284"/>
        <w:rPr/>
      </w:pPr>
      <w:r>
        <w:rPr/>
        <w:t>1)</w:t>
        <w:tab/>
        <w:t>In the first iteration on the untrimmed bivariate distribution, no cases are removed and the correction factor (CF) is therefore set to 1.</w:t>
      </w:r>
    </w:p>
    <w:p>
      <w:pPr>
        <w:pStyle w:val="Normal"/>
        <w:tabs>
          <w:tab w:val="left" w:pos="284" w:leader="none"/>
        </w:tabs>
        <w:ind w:left="284" w:hanging="284"/>
        <w:rPr/>
      </w:pPr>
      <w:r>
        <w:rPr/>
        <w:t>2)</w:t>
        <w:tab/>
        <w:t>The model parameters (mean vector and variance-covariance matrix) are constructed from the estimated means, corrected standard deviations and estimated correlation coefficient.</w:t>
      </w:r>
      <w:r>
        <mc:AlternateContent>
          <mc:Choice Requires="wps">
            <w:drawing>
              <wp:anchor behindDoc="0" distT="0" distB="114935" distL="114935" distR="114935" simplePos="0" locked="0" layoutInCell="1" allowOverlap="1" relativeHeight="12">
                <wp:simplePos x="0" y="0"/>
                <wp:positionH relativeFrom="column">
                  <wp:align>center</wp:align>
                </wp:positionH>
                <wp:positionV relativeFrom="margin">
                  <wp:align>top</wp:align>
                </wp:positionV>
                <wp:extent cx="5899785" cy="4070985"/>
                <wp:effectExtent l="0" t="0" r="0" b="0"/>
                <wp:wrapSquare wrapText="largest"/>
                <wp:docPr id="12" name="Frame6"/>
                <a:graphic xmlns:a="http://schemas.openxmlformats.org/drawingml/2006/main">
                  <a:graphicData uri="http://schemas.microsoft.com/office/word/2010/wordprocessingShape">
                    <wps:wsp>
                      <wps:cNvSpPr txBox="1"/>
                      <wps:spPr>
                        <a:xfrm>
                          <a:off x="0" y="0"/>
                          <a:ext cx="5899785" cy="4070985"/>
                        </a:xfrm>
                        <a:prstGeom prst="rect"/>
                        <a:solidFill>
                          <a:srgbClr val="FFFFFF">
                            <a:alpha val="0"/>
                          </a:srgbClr>
                        </a:solidFill>
                      </wps:spPr>
                      <wps:txbx>
                        <w:txbxContent>
                          <w:p>
                            <w:pPr>
                              <w:pStyle w:val="Plaatsingfiguur"/>
                              <w:rPr>
                                <w:rStyle w:val="Buffer"/>
                              </w:rPr>
                            </w:pPr>
                            <w:r>
                              <w:rPr>
                                <w:rStyle w:val="Buffer"/>
                              </w:rPr>
                              <w:drawing>
                                <wp:inline distT="0" distB="0" distL="0" distR="0">
                                  <wp:extent cx="5718810" cy="314388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rcRect l="15480" t="10497" r="16546" b="27736"/>
                                          <a:stretch>
                                            <a:fillRect/>
                                          </a:stretch>
                                        </pic:blipFill>
                                        <pic:spPr bwMode="auto">
                                          <a:xfrm>
                                            <a:off x="0" y="0"/>
                                            <a:ext cx="5718810" cy="314388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41" w:name="_Ref403897709"/>
                            <w:r>
                              <w:rPr>
                                <w:rStyle w:val="Buffer"/>
                              </w:rPr>
                              <w:t>F</w:t>
                            </w:r>
                            <w:r>
                              <w:rPr/>
                              <w:t xml:space="preserve">igure </w:t>
                            </w:r>
                            <w:r>
                              <w:fldChar w:fldCharType="begin"/>
                            </w:r>
                            <w:r>
                              <w:rPr/>
                              <w:instrText> STYLEREF 1 \s </w:instrText>
                            </w:r>
                            <w:r>
                              <w:rPr/>
                              <w:fldChar w:fldCharType="separate"/>
                            </w:r>
                            <w:bookmarkStart w:id="42" w:name="__Fieldmark__22_4042815248"/>
                            <w:r>
                              <w:rPr>
                                <w:lang w:val="en-US"/>
                              </w:rPr>
                              <w:t>4</w:t>
                            </w:r>
                            <w:r>
                              <w:rPr>
                                <w:lang w:val="en-US"/>
                              </w:rPr>
                            </w:r>
                            <w:r>
                              <w:rPr/>
                              <w:fldChar w:fldCharType="end"/>
                            </w:r>
                            <w:bookmarkEnd w:id="42"/>
                            <w:r>
                              <w:rPr/>
                              <w:t>–</w:t>
                            </w:r>
                            <w:r>
                              <w:rPr/>
                              <w:fldChar w:fldCharType="begin"/>
                            </w:r>
                            <w:r>
                              <w:rPr/>
                              <w:instrText> SEQ Figure \* ARABIC </w:instrText>
                            </w:r>
                            <w:r>
                              <w:rPr/>
                              <w:fldChar w:fldCharType="separate"/>
                            </w:r>
                            <w:r>
                              <w:rPr/>
                              <w:t>4</w:t>
                            </w:r>
                            <w:r>
                              <w:rPr/>
                              <w:fldChar w:fldCharType="end"/>
                            </w:r>
                            <w:bookmarkEnd w:id="41"/>
                            <w:r>
                              <w:rPr/>
                              <w:t>. Flow-chart of trimming procedure to determine the background model parameters in a bivariate distribution of patient data. CF is the correction factor for the estimated standard deviations and KS stands for the size-adjusted Kolmogorov-Smirnov test. See text for further explanation.</w:t>
                            </w:r>
                          </w:p>
                        </w:txbxContent>
                      </wps:txbx>
                      <wps:bodyPr anchor="t" lIns="0" tIns="0" rIns="0" bIns="0">
                        <a:noAutofit/>
                      </wps:bodyPr>
                    </wps:wsp>
                  </a:graphicData>
                </a:graphic>
              </wp:anchor>
            </w:drawing>
          </mc:Choice>
          <mc:Fallback>
            <w:pict>
              <v:rect fillcolor="#FFFFFF" style="position:absolute;rotation:0;width:464.55pt;height:320.55pt;mso-wrap-distance-left:9.05pt;mso-wrap-distance-right:9.05pt;mso-wrap-distance-top:0pt;mso-wrap-distance-bottom:9.05pt;margin-top:0pt;mso-position-vertical:top;mso-position-vertical-relative:margin;margin-left:1.6pt;mso-position-horizontal:center;mso-position-horizontal-relative:text">
                <v:fill opacity="0f"/>
                <v:textbox>
                  <w:txbxContent>
                    <w:p>
                      <w:pPr>
                        <w:pStyle w:val="Plaatsingfiguur"/>
                        <w:rPr>
                          <w:rStyle w:val="Buffer"/>
                        </w:rPr>
                      </w:pPr>
                      <w:r>
                        <w:rPr>
                          <w:rStyle w:val="Buffer"/>
                        </w:rPr>
                        <w:drawing>
                          <wp:inline distT="0" distB="0" distL="0" distR="0">
                            <wp:extent cx="5718810" cy="314388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rcRect l="15480" t="10497" r="16546" b="27736"/>
                                    <a:stretch>
                                      <a:fillRect/>
                                    </a:stretch>
                                  </pic:blipFill>
                                  <pic:spPr bwMode="auto">
                                    <a:xfrm>
                                      <a:off x="0" y="0"/>
                                      <a:ext cx="5718810" cy="314388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43" w:name="_Ref403897709"/>
                      <w:r>
                        <w:rPr>
                          <w:rStyle w:val="Buffer"/>
                        </w:rPr>
                        <w:t>F</w:t>
                      </w:r>
                      <w:r>
                        <w:rPr/>
                        <w:t xml:space="preserve">igure </w:t>
                      </w:r>
                      <w:r>
                        <w:fldChar w:fldCharType="begin"/>
                      </w:r>
                      <w:r>
                        <w:rPr/>
                        <w:instrText> STYLEREF 1 \s </w:instrText>
                      </w:r>
                      <w:r>
                        <w:rPr/>
                        <w:fldChar w:fldCharType="separate"/>
                      </w:r>
                      <w:bookmarkStart w:id="44" w:name="__Fieldmark__22_4042815248"/>
                      <w:r>
                        <w:rPr>
                          <w:lang w:val="en-US"/>
                        </w:rPr>
                        <w:t>4</w:t>
                      </w:r>
                      <w:r>
                        <w:rPr>
                          <w:lang w:val="en-US"/>
                        </w:rPr>
                      </w:r>
                      <w:r>
                        <w:rPr/>
                        <w:fldChar w:fldCharType="end"/>
                      </w:r>
                      <w:bookmarkEnd w:id="44"/>
                      <w:r>
                        <w:rPr/>
                        <w:t>–</w:t>
                      </w:r>
                      <w:r>
                        <w:rPr/>
                        <w:fldChar w:fldCharType="begin"/>
                      </w:r>
                      <w:r>
                        <w:rPr/>
                        <w:instrText> SEQ Figure \* ARABIC </w:instrText>
                      </w:r>
                      <w:r>
                        <w:rPr/>
                        <w:fldChar w:fldCharType="separate"/>
                      </w:r>
                      <w:r>
                        <w:rPr/>
                        <w:t>4</w:t>
                      </w:r>
                      <w:r>
                        <w:rPr/>
                        <w:fldChar w:fldCharType="end"/>
                      </w:r>
                      <w:bookmarkEnd w:id="43"/>
                      <w:r>
                        <w:rPr/>
                        <w:t>. Flow-chart of trimming procedure to determine the background model parameters in a bivariate distribution of patient data. CF is the correction factor for the estimated standard deviations and KS stands for the size-adjusted Kolmogorov-Smirnov test. See text for further explanation.</w:t>
                      </w:r>
                    </w:p>
                  </w:txbxContent>
                </v:textbox>
                <w10:wrap type="square" side="largest"/>
              </v:rect>
            </w:pict>
          </mc:Fallback>
        </mc:AlternateContent>
      </w:r>
    </w:p>
    <w:p>
      <w:pPr>
        <w:pStyle w:val="Normal"/>
        <w:tabs>
          <w:tab w:val="left" w:pos="284" w:leader="none"/>
        </w:tabs>
        <w:ind w:left="284" w:hanging="284"/>
        <w:rPr/>
      </w:pPr>
      <w:r>
        <w:rPr/>
        <w:t>3)</w:t>
        <w:tab/>
        <w:t xml:space="preserve">With the estimated model parameters, a </w:t>
      </w:r>
      <w:r>
        <w:rPr>
          <w:rStyle w:val="Dkwadraat"/>
          <w:i/>
        </w:rPr>
        <w:t>d</w:t>
      </w:r>
      <w:r>
        <w:rPr>
          <w:rStyle w:val="Dkwadraat"/>
          <w:vertAlign w:val="superscript"/>
        </w:rPr>
        <w:t>2</w:t>
      </w:r>
      <w:r>
        <w:rPr/>
        <w:t xml:space="preserve">value (Equation </w:t>
      </w:r>
      <w:r>
        <w:rPr/>
        <w:fldChar w:fldCharType="begin"/>
      </w:r>
      <w:r>
        <w:rPr/>
        <w:instrText> REF Equation_Mahalanobis \h </w:instrText>
      </w:r>
      <w:r>
        <w:rPr/>
        <w:fldChar w:fldCharType="separate"/>
      </w:r>
      <w:r>
        <w:rPr/>
        <w:t xml:space="preserve"> 4 –1</w:t>
      </w:r>
      <w:r>
        <w:rPr/>
        <w:fldChar w:fldCharType="end"/>
      </w:r>
      <w:r>
        <w:rPr/>
        <w:t>) is calculated for each case in the data set.</w:t>
      </w:r>
    </w:p>
    <w:p>
      <w:pPr>
        <w:pStyle w:val="Normal"/>
        <w:tabs>
          <w:tab w:val="left" w:pos="284" w:leader="none"/>
        </w:tabs>
        <w:ind w:left="284" w:hanging="284"/>
        <w:rPr/>
      </w:pPr>
      <w:r>
        <w:rPr/>
        <w:t>4)</w:t>
        <w:tab/>
        <w:t xml:space="preserve">The goodness-of-fit of the observed cumulative probability distribution of </w:t>
      </w:r>
      <w:r>
        <w:rPr>
          <w:rStyle w:val="Dkwadraat"/>
          <w:i/>
        </w:rPr>
        <w:t>d</w:t>
      </w:r>
      <w:r>
        <w:rPr>
          <w:rStyle w:val="Dkwadraat"/>
          <w:vertAlign w:val="superscript"/>
        </w:rPr>
        <w:t>2</w:t>
      </w:r>
      <w:r>
        <w:rPr/>
        <w:t xml:space="preserve">values with the theoretical cumulative </w:t>
      </w:r>
      <w:r>
        <w:rPr>
          <w:rFonts w:eastAsia="Symbol" w:cs="Symbol" w:ascii="Symbol" w:hAnsi="Symbol"/>
        </w:rPr>
        <w:t></w:t>
      </w:r>
      <w:r>
        <w:rPr>
          <w:vertAlign w:val="superscript"/>
        </w:rPr>
        <w:t>2</w:t>
      </w:r>
      <w:r>
        <w:rPr/>
        <w:t xml:space="preserve">(2) probability distribution is now determined. In a bivariate Gaussian distribution, the </w:t>
      </w:r>
      <w:r>
        <w:rPr>
          <w:rStyle w:val="Dkwadraat"/>
          <w:i/>
        </w:rPr>
        <w:t>d</w:t>
      </w:r>
      <w:r>
        <w:rPr>
          <w:rStyle w:val="Dkwadraat"/>
          <w:vertAlign w:val="superscript"/>
        </w:rPr>
        <w:t>2</w:t>
      </w:r>
      <w:r>
        <w:rPr/>
        <w:t xml:space="preserve">values are distributed according to a </w:t>
      </w:r>
      <w:r>
        <w:rPr>
          <w:rFonts w:eastAsia="Symbol" w:cs="Symbol" w:ascii="Symbol" w:hAnsi="Symbol"/>
        </w:rPr>
        <w:t></w:t>
      </w:r>
      <w:r>
        <w:rPr>
          <w:vertAlign w:val="superscript"/>
        </w:rPr>
        <w:t>2</w:t>
      </w:r>
      <w:r>
        <w:rPr/>
        <w:t xml:space="preserve">-distribution with 2 degrees of freedom </w:t>
      </w:r>
      <w:r>
        <w:fldChar w:fldCharType="begin"/>
      </w:r>
      <w:r>
        <w:rPr/>
        <w:instrText> ADDIN ENRf8 _x0001_</w:instrText>
      </w:r>
      <w:r>
        <w:rPr/>
        <w:fldChar w:fldCharType="separate"/>
      </w:r>
      <w:bookmarkStart w:id="45" w:name="__Fieldmark__23_4042815248"/>
      <w:r>
        <w:rPr/>
        <w:t>[17, 18, 24, 25]</w:t>
      </w:r>
      <w:r>
        <w:rPr/>
      </w:r>
      <w:r>
        <w:rPr/>
        <w:fldChar w:fldCharType="end"/>
      </w:r>
      <w:bookmarkEnd w:id="45"/>
      <w:r>
        <w:rPr/>
        <w:t xml:space="preserve">. This observation is used to verify the bivariate Gaussian assumption. With a 1-dimensional goodness-of-fit test like the Kolmogorov-Smirnov (KS) test it can be tested whether the calculated </w:t>
      </w:r>
      <w:r>
        <w:rPr>
          <w:rStyle w:val="Dkwadraat"/>
          <w:i/>
        </w:rPr>
        <w:t>d</w:t>
      </w:r>
      <w:r>
        <w:rPr>
          <w:rStyle w:val="Dkwadraat"/>
          <w:vertAlign w:val="superscript"/>
        </w:rPr>
        <w:t>2</w:t>
      </w:r>
      <w:r>
        <w:rPr/>
        <w:t xml:space="preserve"> values indeed follow a </w:t>
      </w:r>
      <w:r>
        <w:rPr>
          <w:rFonts w:eastAsia="Symbol" w:cs="Symbol" w:ascii="Symbol" w:hAnsi="Symbol"/>
        </w:rPr>
        <w:t></w:t>
      </w:r>
      <w:r>
        <w:rPr>
          <w:vertAlign w:val="superscript"/>
        </w:rPr>
        <w:t>2</w:t>
      </w:r>
      <w:r>
        <w:rPr/>
        <w:t xml:space="preserve">(2)-distribution </w:t>
      </w:r>
      <w:r>
        <w:fldChar w:fldCharType="begin"/>
      </w:r>
      <w:r>
        <w:rPr/>
        <w:instrText> ADDIN ENRf8 _x0001_</w:instrText>
      </w:r>
      <w:r>
        <w:rPr/>
        <w:fldChar w:fldCharType="separate"/>
      </w:r>
      <w:bookmarkStart w:id="46" w:name="__Fieldmark__24_4042815248"/>
      <w:r>
        <w:rPr/>
        <w:t>[24]</w:t>
      </w:r>
      <w:r>
        <w:rPr/>
      </w:r>
      <w:r>
        <w:rPr/>
        <w:fldChar w:fldCharType="end"/>
      </w:r>
      <w:bookmarkEnd w:id="46"/>
      <w:r>
        <w:rPr/>
        <w:t xml:space="preserve">. The test statistic of the KS test is the largest difference in probability between an observed cumulative probability distribution and a specific theoretical cumulative probability distribution </w:t>
      </w:r>
      <w:r>
        <w:fldChar w:fldCharType="begin"/>
      </w:r>
      <w:r>
        <w:rPr/>
        <w:instrText> ADDIN ENRf8 _x0001_</w:instrText>
      </w:r>
      <w:r>
        <w:rPr/>
        <w:fldChar w:fldCharType="separate"/>
      </w:r>
      <w:bookmarkStart w:id="47" w:name="__Fieldmark__25_4042815248"/>
      <w:r>
        <w:rPr/>
        <w:t>[25]</w:t>
      </w:r>
      <w:r>
        <w:rPr/>
      </w:r>
      <w:r>
        <w:rPr/>
        <w:fldChar w:fldCharType="end"/>
      </w:r>
      <w:bookmarkEnd w:id="47"/>
      <w:r>
        <w:rPr/>
        <w:t>. If the KS test statistic is small enough, the hypothesis of the bivariate distribution being Gaussian is assumed to be verified.</w:t>
      </w:r>
    </w:p>
    <w:p>
      <w:pPr>
        <w:pStyle w:val="Normal"/>
        <w:tabs>
          <w:tab w:val="left" w:pos="284" w:leader="none"/>
        </w:tabs>
        <w:ind w:left="284" w:hanging="284"/>
        <w:rPr/>
      </w:pPr>
      <w:r>
        <w:rPr/>
        <w:tab/>
        <w:t xml:space="preserve">However, the KS test is designed to be used in non-trimmed distributions only and an adaptation of the test was necessary. Under the assumption that the remaining cases of a trimmed bivariate distribution are part of a wider bivariate Gaussian distribution, the number of cases in this wider bivariate Gaussian distribution can be reconstructed for a given </w:t>
      </w:r>
      <w:r>
        <w:rPr>
          <w:rStyle w:val="Dkwadraat"/>
          <w:i/>
        </w:rPr>
        <w:t>d</w:t>
      </w:r>
      <w:r>
        <w:rPr>
          <w:rStyle w:val="Dkwadraat"/>
          <w:vertAlign w:val="superscript"/>
        </w:rPr>
        <w:t>2</w:t>
      </w:r>
      <w:r>
        <w:rPr/>
        <w:t xml:space="preserve">trimming value. Thus, for a ranked array of </w:t>
      </w:r>
      <w:r>
        <w:rPr>
          <w:rStyle w:val="Dkwadraat"/>
          <w:i/>
        </w:rPr>
        <w:t>d</w:t>
      </w:r>
      <w:r>
        <w:rPr>
          <w:rStyle w:val="Dkwadraat"/>
          <w:vertAlign w:val="superscript"/>
        </w:rPr>
        <w:t>2</w:t>
      </w:r>
      <w:r>
        <w:rPr/>
        <w:t>values (</w:t>
      </w:r>
      <w:r>
        <w:rPr>
          <w:i/>
        </w:rPr>
        <w:t>d</w:t>
      </w:r>
      <w:r>
        <w:rPr>
          <w:i/>
          <w:vertAlign w:val="subscript"/>
        </w:rPr>
        <w:t>1</w:t>
      </w:r>
      <w:r>
        <w:rPr/>
        <w:t xml:space="preserve">,..., </w:t>
      </w:r>
      <w:r>
        <w:rPr>
          <w:i/>
        </w:rPr>
        <w:t>d</w:t>
      </w:r>
      <w:r>
        <w:rPr>
          <w:i/>
          <w:vertAlign w:val="subscript"/>
        </w:rPr>
        <w:t>N</w:t>
      </w:r>
      <w:r>
        <w:rPr/>
        <w:t>) of a trimmed distribution, the adapted KS test statistic D</w:t>
      </w:r>
      <w:r>
        <w:rPr>
          <w:vertAlign w:val="subscript"/>
        </w:rPr>
        <w:t>max</w:t>
      </w:r>
      <w:r>
        <w:rPr/>
        <w:t xml:space="preserve"> is defined as:</w:t>
      </w:r>
    </w:p>
    <w:p>
      <w:pPr>
        <w:pStyle w:val="Vergelijking"/>
        <w:tabs>
          <w:tab w:val="left" w:pos="5245" w:leader="none"/>
          <w:tab w:val="right" w:pos="8789" w:leader="none"/>
        </w:tabs>
        <w:ind w:left="1560" w:hanging="0"/>
        <w:jc w:val="left"/>
        <w:rPr>
          <w:rFonts w:ascii="AGaramond" w:hAnsi="AGaramond" w:cs="AGaramond"/>
          <w:lang w:val="en-US"/>
        </w:rPr>
      </w:pPr>
      <w:r>
        <w:rPr>
          <w:lang w:val="en-US"/>
        </w:rPr>
        <w:t>D</w:t>
      </w:r>
      <w:r>
        <w:rPr>
          <w:vertAlign w:val="superscript"/>
          <w:lang w:val="en-US"/>
        </w:rPr>
        <w:t>+</w:t>
      </w:r>
      <w:r>
        <w:rPr>
          <w:lang w:val="en-US"/>
        </w:rPr>
        <w:t xml:space="preserve"> = max(</w:t>
      </w:r>
      <w:r>
        <w:rPr>
          <w:i/>
          <w:lang w:val="en-US"/>
        </w:rPr>
        <w:t>i</w:t>
      </w:r>
      <w:r>
        <w:rPr>
          <w:lang w:val="en-US"/>
        </w:rPr>
        <w:t>/(</w:t>
      </w:r>
      <w:r>
        <w:rPr>
          <w:i/>
          <w:lang w:val="en-US"/>
        </w:rPr>
        <w:t>N</w:t>
      </w:r>
      <w:r>
        <w:rPr>
          <w:lang w:val="en-US"/>
        </w:rPr>
        <w:t>/</w:t>
      </w:r>
      <w:r>
        <w:rPr>
          <w:i/>
          <w:lang w:val="en-US"/>
        </w:rPr>
        <w:t>Pd</w:t>
      </w:r>
      <w:r>
        <w:rPr>
          <w:i/>
          <w:vertAlign w:val="subscript"/>
          <w:lang w:val="en-US"/>
        </w:rPr>
        <w:t>N</w:t>
      </w:r>
      <w:r>
        <w:rPr>
          <w:lang w:val="en-US"/>
        </w:rPr>
        <w:t xml:space="preserve">) </w:t>
      </w:r>
      <w:r>
        <w:rPr>
          <w:rFonts w:eastAsia="Symbol" w:cs="Symbol" w:ascii="Symbol" w:hAnsi="Symbol"/>
          <w:lang w:val="en-US"/>
        </w:rPr>
        <w:t></w:t>
      </w:r>
      <w:r>
        <w:rPr>
          <w:lang w:val="en-US"/>
        </w:rPr>
        <w:t xml:space="preserve"> </w:t>
      </w:r>
      <w:r>
        <w:rPr>
          <w:i/>
          <w:lang w:val="en-US"/>
        </w:rPr>
        <w:t>Pd</w:t>
      </w:r>
      <w:r>
        <w:rPr>
          <w:i/>
          <w:vertAlign w:val="subscript"/>
          <w:lang w:val="en-US"/>
        </w:rPr>
        <w:t>i</w:t>
      </w:r>
      <w:r>
        <w:rPr>
          <w:lang w:val="en-US"/>
        </w:rPr>
        <w:t>),</w:t>
        <w:tab/>
        <w:t>(</w:t>
      </w:r>
      <w:r>
        <w:rPr>
          <w:i/>
          <w:lang w:val="en-US"/>
        </w:rPr>
        <w:t>i</w:t>
      </w:r>
      <w:r>
        <w:rPr>
          <w:lang w:val="en-US"/>
        </w:rPr>
        <w:t xml:space="preserve"> = 1,..., </w:t>
      </w:r>
      <w:r>
        <w:rPr>
          <w:i/>
          <w:lang w:val="en-US"/>
        </w:rPr>
        <w:t>N</w:t>
      </w:r>
      <w:r>
        <w:rPr>
          <w:lang w:val="en-US"/>
        </w:rPr>
        <w:t>),</w:t>
        <w:tab/>
        <w:t>(</w:t>
      </w:r>
      <w:r>
        <w:fldChar w:fldCharType="begin"/>
      </w:r>
      <w:r>
        <w:rPr/>
        <w:instrText> STYLEREF 1 \s </w:instrText>
      </w:r>
      <w:r>
        <w:rPr/>
        <w:fldChar w:fldCharType="separate"/>
      </w:r>
      <w:bookmarkStart w:id="48" w:name="Equation_KS"/>
      <w:bookmarkStart w:id="49" w:name="__Fieldmark__26_4042815248"/>
      <w:r>
        <w:rPr>
          <w:lang w:val="en-US"/>
        </w:rPr>
        <w:t>4</w:t>
      </w:r>
      <w:r>
        <w:rPr>
          <w:lang w:val="en-US"/>
        </w:rPr>
      </w:r>
      <w:r>
        <w:rPr/>
        <w:fldChar w:fldCharType="end"/>
      </w:r>
      <w:bookmarkEnd w:id="49"/>
      <w:r>
        <w:rPr>
          <w:lang w:val="en-US"/>
        </w:rPr>
        <w:t>–</w:t>
      </w:r>
      <w:r>
        <w:rPr>
          <w:lang w:val="en-US"/>
        </w:rPr>
        <w:fldChar w:fldCharType="begin"/>
      </w:r>
      <w:r>
        <w:rPr/>
        <w:instrText> SEQ Equation \* ARABIC </w:instrText>
      </w:r>
      <w:r>
        <w:rPr/>
        <w:fldChar w:fldCharType="separate"/>
      </w:r>
      <w:r>
        <w:rPr/>
        <w:t>3</w:t>
      </w:r>
      <w:r>
        <w:rPr/>
        <w:fldChar w:fldCharType="end"/>
      </w:r>
      <w:bookmarkEnd w:id="48"/>
      <w:r>
        <w:rPr>
          <w:lang w:val="en-US"/>
        </w:rPr>
        <w:t>)</w:t>
        <w:br/>
        <w:t>D</w:t>
      </w:r>
      <w:r>
        <w:rPr>
          <w:rFonts w:eastAsia="Symbol" w:cs="Symbol" w:ascii="Symbol" w:hAnsi="Symbol"/>
          <w:vertAlign w:val="superscript"/>
          <w:lang w:val="en-US"/>
        </w:rPr>
        <w:t></w:t>
      </w:r>
      <w:r>
        <w:rPr>
          <w:lang w:val="en-US"/>
        </w:rPr>
        <w:t>= max(</w:t>
      </w:r>
      <w:r>
        <w:rPr>
          <w:i/>
          <w:lang w:val="en-US"/>
        </w:rPr>
        <w:t>Pd</w:t>
      </w:r>
      <w:r>
        <w:rPr>
          <w:i/>
          <w:vertAlign w:val="subscript"/>
          <w:lang w:val="en-US"/>
        </w:rPr>
        <w:t>i</w:t>
      </w:r>
      <w:r>
        <w:rPr>
          <w:sz w:val="14"/>
          <w:lang w:val="en-US"/>
        </w:rPr>
        <w:t xml:space="preserve">  </w:t>
      </w:r>
      <w:r>
        <w:rPr>
          <w:rFonts w:eastAsia="Symbol" w:cs="Symbol" w:ascii="Symbol" w:hAnsi="Symbol"/>
          <w:lang w:val="en-US"/>
        </w:rPr>
        <w:t></w:t>
      </w:r>
      <w:r>
        <w:rPr>
          <w:lang w:val="en-US"/>
        </w:rPr>
        <w:t xml:space="preserve"> (</w:t>
      </w:r>
      <w:r>
        <w:rPr>
          <w:i/>
          <w:lang w:val="en-US"/>
        </w:rPr>
        <w:t xml:space="preserve">i </w:t>
      </w:r>
      <w:r>
        <w:rPr>
          <w:rFonts w:eastAsia="Symbol" w:cs="Symbol" w:ascii="Symbol" w:hAnsi="Symbol"/>
          <w:i/>
          <w:lang w:val="en-US"/>
        </w:rPr>
        <w:t></w:t>
      </w:r>
      <w:r>
        <w:rPr>
          <w:i/>
          <w:lang w:val="en-US"/>
        </w:rPr>
        <w:t xml:space="preserve"> </w:t>
      </w:r>
      <w:r>
        <w:rPr>
          <w:lang w:val="en-US"/>
        </w:rPr>
        <w:t>1)/(</w:t>
      </w:r>
      <w:r>
        <w:rPr>
          <w:i/>
          <w:lang w:val="en-US"/>
        </w:rPr>
        <w:t>N</w:t>
      </w:r>
      <w:r>
        <w:rPr>
          <w:lang w:val="en-US"/>
        </w:rPr>
        <w:t>/</w:t>
      </w:r>
      <w:r>
        <w:rPr>
          <w:i/>
          <w:lang w:val="en-US"/>
        </w:rPr>
        <w:t>Pd</w:t>
      </w:r>
      <w:r>
        <w:rPr>
          <w:i/>
          <w:vertAlign w:val="subscript"/>
          <w:lang w:val="en-US"/>
        </w:rPr>
        <w:t>N</w:t>
      </w:r>
      <w:r>
        <w:rPr>
          <w:lang w:val="en-US"/>
        </w:rPr>
        <w:t>)),</w:t>
        <w:tab/>
        <w:t>(</w:t>
      </w:r>
      <w:r>
        <w:rPr>
          <w:i/>
          <w:lang w:val="en-US"/>
        </w:rPr>
        <w:t>i</w:t>
      </w:r>
      <w:r>
        <w:rPr>
          <w:lang w:val="en-US"/>
        </w:rPr>
        <w:t xml:space="preserve"> = 1,..., </w:t>
      </w:r>
      <w:r>
        <w:rPr>
          <w:i/>
          <w:lang w:val="en-US"/>
        </w:rPr>
        <w:t>N</w:t>
      </w:r>
      <w:r>
        <w:rPr>
          <w:lang w:val="en-US"/>
        </w:rPr>
        <w:t>),</w:t>
        <w:tab/>
        <w:t>D</w:t>
      </w:r>
      <w:r>
        <w:rPr>
          <w:vertAlign w:val="subscript"/>
          <w:lang w:val="en-US"/>
        </w:rPr>
        <w:t>max</w:t>
      </w:r>
      <w:r>
        <w:rPr>
          <w:lang w:val="en-US"/>
        </w:rPr>
        <w:t xml:space="preserve"> = max(D</w:t>
      </w:r>
      <w:r>
        <w:rPr>
          <w:vertAlign w:val="superscript"/>
          <w:lang w:val="en-US"/>
        </w:rPr>
        <w:t>+</w:t>
      </w:r>
      <w:r>
        <w:rPr>
          <w:lang w:val="en-US"/>
        </w:rPr>
        <w:t>,</w:t>
      </w:r>
      <w:r>
        <w:rPr>
          <w:i/>
          <w:lang w:val="en-US"/>
        </w:rPr>
        <w:t xml:space="preserve"> </w:t>
      </w:r>
      <w:r>
        <w:rPr>
          <w:lang w:val="en-US"/>
        </w:rPr>
        <w:t>D</w:t>
      </w:r>
      <w:r>
        <w:rPr>
          <w:rFonts w:eastAsia="Symbol" w:cs="Symbol" w:ascii="Symbol" w:hAnsi="Symbol"/>
          <w:vertAlign w:val="superscript"/>
          <w:lang w:val="en-US"/>
        </w:rPr>
        <w:t></w:t>
      </w:r>
      <w:r>
        <w:rPr>
          <w:lang w:val="en-US"/>
        </w:rPr>
        <w:t>),</w:t>
      </w:r>
    </w:p>
    <w:p>
      <w:pPr>
        <w:pStyle w:val="Normal"/>
        <w:tabs>
          <w:tab w:val="left" w:pos="284" w:leader="none"/>
        </w:tabs>
        <w:ind w:left="284" w:hanging="284"/>
        <w:rPr/>
      </w:pPr>
      <w:r>
        <w:rPr/>
        <w:tab/>
        <w:t xml:space="preserve">where </w:t>
      </w:r>
      <w:r>
        <w:rPr>
          <w:i/>
          <w:lang w:val="en-US"/>
        </w:rPr>
        <w:t>Pd</w:t>
      </w:r>
      <w:r>
        <w:rPr>
          <w:i/>
          <w:vertAlign w:val="subscript"/>
          <w:lang w:val="en-US"/>
        </w:rPr>
        <w:t>i</w:t>
      </w:r>
      <w:r>
        <w:rPr/>
        <w:t xml:space="preserve"> is the theoretical cumulative </w:t>
      </w:r>
      <w:r>
        <w:rPr>
          <w:rFonts w:eastAsia="Symbol" w:cs="Symbol" w:ascii="Symbol" w:hAnsi="Symbol"/>
        </w:rPr>
        <w:t></w:t>
      </w:r>
      <w:r>
        <w:rPr>
          <w:vertAlign w:val="superscript"/>
        </w:rPr>
        <w:t>2</w:t>
      </w:r>
      <w:r>
        <w:rPr/>
        <w:t xml:space="preserve">(2) probability for </w:t>
      </w:r>
      <w:r>
        <w:rPr>
          <w:i/>
          <w:lang w:val="en-US"/>
        </w:rPr>
        <w:t>d</w:t>
      </w:r>
      <w:r>
        <w:rPr>
          <w:i/>
          <w:vertAlign w:val="subscript"/>
          <w:lang w:val="en-US"/>
        </w:rPr>
        <w:t>i</w:t>
      </w:r>
      <w:r>
        <w:rPr>
          <w:lang w:val="en-US"/>
        </w:rPr>
        <w:t xml:space="preserve">, </w:t>
      </w:r>
      <w:r>
        <w:rPr>
          <w:i/>
          <w:lang w:val="en-US"/>
        </w:rPr>
        <w:t>Pd</w:t>
      </w:r>
      <w:r>
        <w:rPr>
          <w:i/>
          <w:vertAlign w:val="subscript"/>
          <w:lang w:val="en-US"/>
        </w:rPr>
        <w:t>N</w:t>
      </w:r>
      <w:r>
        <w:rPr/>
        <w:t xml:space="preserve"> is the cumulative theoretical </w:t>
      </w:r>
      <w:r>
        <w:rPr>
          <w:rFonts w:eastAsia="Symbol" w:cs="Symbol" w:ascii="Symbol" w:hAnsi="Symbol"/>
        </w:rPr>
        <w:t></w:t>
      </w:r>
      <w:r>
        <w:rPr>
          <w:vertAlign w:val="superscript"/>
        </w:rPr>
        <w:t>2</w:t>
      </w:r>
      <w:r>
        <w:rPr/>
        <w:t xml:space="preserve">(2) probability for </w:t>
      </w:r>
      <w:r>
        <w:rPr>
          <w:i/>
        </w:rPr>
        <w:t>d</w:t>
      </w:r>
      <w:r>
        <w:rPr>
          <w:i/>
          <w:vertAlign w:val="subscript"/>
        </w:rPr>
        <w:t>N</w:t>
      </w:r>
      <w:r>
        <w:rPr/>
        <w:t xml:space="preserve"> and consequently </w:t>
      </w:r>
      <w:r>
        <w:rPr>
          <w:i/>
        </w:rPr>
        <w:t>N</w:t>
      </w:r>
      <w:r>
        <w:rPr/>
        <w:t>/</w:t>
      </w:r>
      <w:r>
        <w:rPr>
          <w:i/>
          <w:lang w:val="en-US"/>
        </w:rPr>
        <w:t>Pd</w:t>
      </w:r>
      <w:r>
        <w:rPr>
          <w:i/>
          <w:vertAlign w:val="subscript"/>
          <w:lang w:val="en-US"/>
        </w:rPr>
        <w:t>N</w:t>
      </w:r>
      <w:r>
        <w:rPr/>
        <w:t xml:space="preserve"> is the estimated number of cases in the wider untrimmed bivariate Gaussian distribution. The </w:t>
      </w:r>
      <w:r>
        <w:rPr>
          <w:i/>
        </w:rPr>
        <w:t>p</w:t>
      </w:r>
      <w:r>
        <w:rPr/>
        <w:t>-value for a size-adjusted KS test statistic *D</w:t>
      </w:r>
      <w:r>
        <w:rPr>
          <w:vertAlign w:val="subscript"/>
        </w:rPr>
        <w:t>max</w:t>
      </w:r>
      <w:r>
        <w:rPr/>
        <w:t xml:space="preserve"> (D</w:t>
      </w:r>
      <w:r>
        <w:rPr>
          <w:vertAlign w:val="subscript"/>
        </w:rPr>
        <w:t xml:space="preserve">max </w:t>
      </w:r>
      <w:r>
        <w:rPr>
          <w:rFonts w:eastAsia="Symbol" w:cs="Symbol" w:ascii="Symbol" w:hAnsi="Symbol"/>
        </w:rPr>
        <w:t></w:t>
      </w:r>
      <w:r>
        <w:rPr/>
        <w:t xml:space="preserve"> (</w:t>
      </w:r>
      <w:r>
        <w:rPr>
          <w:rFonts w:eastAsia="Symbol" w:cs="Symbol" w:ascii="Symbol" w:hAnsi="Symbol"/>
        </w:rPr>
        <w:t></w:t>
      </w:r>
      <w:r>
        <w:rPr>
          <w:i/>
        </w:rPr>
        <w:t>N</w:t>
      </w:r>
      <w:r>
        <w:rPr/>
        <w:t xml:space="preserve"> </w:t>
      </w:r>
      <w:r>
        <w:rPr>
          <w:rFonts w:eastAsia="Symbol" w:cs="Symbol" w:ascii="Symbol" w:hAnsi="Symbol"/>
        </w:rPr>
        <w:t></w:t>
      </w:r>
      <w:r>
        <w:rPr/>
        <w:t xml:space="preserve"> 0.01 + 0.85/</w:t>
      </w:r>
      <w:r>
        <w:rPr>
          <w:rFonts w:eastAsia="Symbol" w:cs="Symbol" w:ascii="Symbol" w:hAnsi="Symbol"/>
        </w:rPr>
        <w:t></w:t>
      </w:r>
      <w:r>
        <w:rPr>
          <w:i/>
        </w:rPr>
        <w:t>N</w:t>
      </w:r>
      <w:r>
        <w:rPr/>
        <w:t xml:space="preserve">)) in the range of 0.01-0.15 can be calculated as </w:t>
      </w:r>
      <w:r>
        <w:fldChar w:fldCharType="begin"/>
      </w:r>
      <w:r>
        <w:rPr/>
        <w:instrText> ADDIN ENRf8 _x0001_</w:instrText>
      </w:r>
      <w:r>
        <w:rPr/>
        <w:fldChar w:fldCharType="separate"/>
      </w:r>
      <w:bookmarkStart w:id="50" w:name="__Fieldmark__27_4042815248"/>
      <w:r>
        <w:rPr/>
        <w:t>[26]</w:t>
      </w:r>
      <w:r>
        <w:rPr/>
      </w:r>
      <w:r>
        <w:rPr/>
        <w:fldChar w:fldCharType="end"/>
      </w:r>
      <w:bookmarkEnd w:id="50"/>
      <w:r>
        <w:rPr/>
        <w:t>:</w:t>
      </w:r>
    </w:p>
    <w:p>
      <w:pPr>
        <w:pStyle w:val="Vergelijking"/>
        <w:ind w:left="142" w:hanging="142"/>
        <w:rPr/>
      </w:pPr>
      <w:r>
        <w:rPr/>
        <w:tab/>
        <w:tab/>
      </w:r>
      <w:r>
        <w:rPr>
          <w:i/>
        </w:rPr>
        <w:t>p-</w:t>
      </w:r>
      <w:r>
        <w:rPr/>
        <w:t xml:space="preserve">value = 6.18 </w:t>
      </w:r>
      <w:r>
        <w:rPr>
          <w:rFonts w:eastAsia="Symbol" w:cs="Symbol" w:ascii="Symbol" w:hAnsi="Symbol"/>
        </w:rPr>
        <w:t></w:t>
      </w:r>
      <w:r>
        <w:rPr/>
        <w:t xml:space="preserve"> 17.53 </w:t>
      </w:r>
      <w:r>
        <w:rPr>
          <w:rFonts w:eastAsia="Symbol" w:cs="Symbol" w:ascii="Symbol" w:hAnsi="Symbol"/>
        </w:rPr>
        <w:t></w:t>
      </w:r>
      <w:r>
        <w:rPr/>
        <w:t xml:space="preserve"> *D</w:t>
      </w:r>
      <w:r>
        <w:rPr>
          <w:vertAlign w:val="subscript"/>
        </w:rPr>
        <w:t xml:space="preserve">max  </w:t>
      </w:r>
      <w:r>
        <w:rPr>
          <w:rFonts w:eastAsia="Symbol" w:cs="Symbol" w:ascii="Symbol" w:hAnsi="Symbol"/>
        </w:rPr>
        <w:t></w:t>
      </w:r>
      <w:r>
        <w:rPr/>
        <w:t xml:space="preserve"> 16.75  </w:t>
      </w:r>
      <w:r>
        <w:rPr>
          <w:rFonts w:eastAsia="Symbol" w:cs="Symbol" w:ascii="Symbol" w:hAnsi="Symbol"/>
        </w:rPr>
        <w:t></w:t>
      </w:r>
      <w:r>
        <w:rPr/>
        <w:t xml:space="preserve"> *D</w:t>
      </w:r>
      <w:r>
        <w:rPr>
          <w:vertAlign w:val="subscript"/>
        </w:rPr>
        <w:t>max</w:t>
      </w:r>
      <w:r>
        <w:rPr>
          <w:vertAlign w:val="superscript"/>
        </w:rPr>
        <w:t xml:space="preserve"> 2 </w:t>
      </w:r>
      <w:r>
        <w:rPr>
          <w:rFonts w:eastAsia="Symbol" w:cs="Symbol" w:ascii="Symbol" w:hAnsi="Symbol"/>
        </w:rPr>
        <w:t></w:t>
      </w:r>
      <w:r>
        <w:rPr/>
        <w:t xml:space="preserve"> 5.39  </w:t>
      </w:r>
      <w:r>
        <w:rPr>
          <w:rFonts w:eastAsia="Symbol" w:cs="Symbol" w:ascii="Symbol" w:hAnsi="Symbol"/>
        </w:rPr>
        <w:t></w:t>
      </w:r>
      <w:r>
        <w:rPr/>
        <w:t xml:space="preserve"> *D</w:t>
      </w:r>
      <w:r>
        <w:rPr>
          <w:vertAlign w:val="subscript"/>
        </w:rPr>
        <w:t>max</w:t>
      </w:r>
      <w:r>
        <w:rPr>
          <w:vertAlign w:val="superscript"/>
        </w:rPr>
        <w:t>3</w:t>
      </w:r>
      <w:r>
        <w:rPr/>
        <w:tab/>
        <w:t>(</w:t>
      </w:r>
      <w:r>
        <w:fldChar w:fldCharType="begin"/>
      </w:r>
      <w:r>
        <w:rPr/>
        <w:instrText> STYLEREF 1 \s </w:instrText>
      </w:r>
      <w:r>
        <w:rPr/>
        <w:fldChar w:fldCharType="separate"/>
      </w:r>
      <w:bookmarkStart w:id="51" w:name="Equation_pvalueKS"/>
      <w:bookmarkStart w:id="52" w:name="__Fieldmark__28_4042815248"/>
      <w:r>
        <w:rPr>
          <w:lang w:val="en-US"/>
        </w:rPr>
        <w:t>4</w:t>
      </w:r>
      <w:r>
        <w:rPr>
          <w:lang w:val="en-US"/>
        </w:rPr>
      </w:r>
      <w:r>
        <w:rPr/>
        <w:fldChar w:fldCharType="end"/>
      </w:r>
      <w:bookmarkEnd w:id="52"/>
      <w:r>
        <w:rPr/>
        <w:t>–</w:t>
      </w:r>
      <w:r>
        <w:rPr/>
        <w:fldChar w:fldCharType="begin"/>
      </w:r>
      <w:r>
        <w:rPr/>
        <w:instrText> SEQ Equation \* ARABIC </w:instrText>
      </w:r>
      <w:r>
        <w:rPr/>
        <w:fldChar w:fldCharType="separate"/>
      </w:r>
      <w:r>
        <w:rPr/>
        <w:t>4</w:t>
      </w:r>
      <w:r>
        <w:rPr/>
        <w:fldChar w:fldCharType="end"/>
      </w:r>
      <w:bookmarkEnd w:id="51"/>
      <w:r>
        <w:rPr/>
        <w:t>)</w:t>
      </w:r>
    </w:p>
    <w:p>
      <w:pPr>
        <w:pStyle w:val="Normal"/>
        <w:tabs>
          <w:tab w:val="left" w:pos="284" w:leader="none"/>
        </w:tabs>
        <w:ind w:left="284" w:hanging="284"/>
        <w:rPr/>
      </w:pPr>
      <w:r>
        <w:rPr/>
        <w:t>5)</w:t>
        <w:tab/>
        <w:t xml:space="preserve">If the adapted KS test yields a </w:t>
      </w:r>
      <w:r>
        <w:rPr>
          <w:i/>
        </w:rPr>
        <w:t>p</w:t>
      </w:r>
      <w:r>
        <w:rPr/>
        <w:t xml:space="preserve">-value larger than </w:t>
      </w:r>
      <w:r>
        <w:rPr>
          <w:rFonts w:eastAsia="Symbol" w:cs="Symbol" w:ascii="Symbol" w:hAnsi="Symbol"/>
        </w:rPr>
        <w:t></w:t>
      </w:r>
      <w:r>
        <w:rPr/>
        <w:t xml:space="preserve"> = 0.05, there is not enough evidence to reject the H</w:t>
      </w:r>
      <w:r>
        <w:rPr>
          <w:vertAlign w:val="subscript"/>
        </w:rPr>
        <w:t>o</w:t>
      </w:r>
      <w:r>
        <w:rPr/>
        <w:t xml:space="preserve">-hypothesis of fit. It may then be concluded that the trimmed distribution is indeed part of a wider bivariate Gaussian distribution and the procedure is stopped. The estimated model parameters (mean vector </w:t>
      </w:r>
      <w:r>
        <w:rPr>
          <w:b/>
        </w:rPr>
        <w:t>m</w:t>
      </w:r>
      <w:r>
        <w:rPr/>
        <w:t xml:space="preserve"> and variance-covariance matrix S as built from the corrected standard deviations and the estimated correlation coefficient) are now the background model parameters and can be used to define bivariate reference regions.</w:t>
      </w:r>
    </w:p>
    <w:p>
      <w:pPr>
        <w:pStyle w:val="Normal"/>
        <w:tabs>
          <w:tab w:val="left" w:pos="284" w:leader="none"/>
        </w:tabs>
        <w:ind w:left="284" w:hanging="284"/>
        <w:rPr/>
      </w:pPr>
      <w:r>
        <w:rPr/>
        <w:t xml:space="preserve">6) If the adapted KS test yields a </w:t>
      </w:r>
      <w:r>
        <w:rPr>
          <w:i/>
        </w:rPr>
        <w:t>p</w:t>
      </w:r>
      <w:r>
        <w:rPr/>
        <w:t xml:space="preserve">-value smaller than or equal to </w:t>
      </w:r>
      <w:r>
        <w:rPr>
          <w:rFonts w:eastAsia="Symbol" w:cs="Symbol" w:ascii="Symbol" w:hAnsi="Symbol"/>
        </w:rPr>
        <w:t></w:t>
      </w:r>
      <w:r>
        <w:rPr/>
        <w:t xml:space="preserve"> = 0.05, the H</w:t>
      </w:r>
      <w:r>
        <w:rPr>
          <w:vertAlign w:val="subscript"/>
        </w:rPr>
        <w:t>o</w:t>
      </w:r>
      <w:r>
        <w:rPr/>
        <w:t>-hypothesis of fit is rejected and the H</w:t>
      </w:r>
      <w:r>
        <w:rPr>
          <w:vertAlign w:val="subscript"/>
        </w:rPr>
        <w:t>a</w:t>
      </w:r>
      <w:r>
        <w:rPr/>
        <w:t xml:space="preserve">-hypothesis (lack of fit) is accepted. This means that the trimmed bivariate distribution is not part of a wider bivariate Gaussian distribution and the case with the largest </w:t>
      </w:r>
      <w:r>
        <w:rPr>
          <w:rStyle w:val="Dkwadraat"/>
          <w:i/>
        </w:rPr>
        <w:t>d</w:t>
      </w:r>
      <w:r>
        <w:rPr>
          <w:rStyle w:val="Dkwadraat"/>
          <w:vertAlign w:val="superscript"/>
        </w:rPr>
        <w:t>2</w:t>
      </w:r>
      <w:r>
        <w:rPr/>
        <w:t xml:space="preserve">value is removed from the data set. A correction factor (CF) corresponding to this </w:t>
      </w:r>
      <w:r>
        <w:rPr>
          <w:rStyle w:val="Dkwadraat"/>
          <w:i/>
        </w:rPr>
        <w:t>d</w:t>
      </w:r>
      <w:r>
        <w:rPr>
          <w:rStyle w:val="Dkwadraat"/>
          <w:vertAlign w:val="superscript"/>
        </w:rPr>
        <w:t>2</w:t>
      </w:r>
      <w:r>
        <w:rPr/>
        <w:t>value is calculated and a new iteration starts with the trimmed distribution and the new correction factor.</w:t>
      </w:r>
    </w:p>
    <w:p>
      <w:pPr>
        <w:pStyle w:val="Heading2"/>
        <w:numPr>
          <w:ilvl w:val="1"/>
          <w:numId w:val="1"/>
        </w:numPr>
        <w:rPr/>
      </w:pPr>
      <w:r>
        <w:rPr/>
        <w:t>Results</w:t>
      </w:r>
    </w:p>
    <w:p>
      <w:pPr>
        <w:pStyle w:val="Normal"/>
        <w:rPr/>
      </w:pPr>
      <w:r>
        <w:rPr/>
        <w:t xml:space="preserve">For each data set, the trimming procedure described in the preceding section succeeded in establishing the background model parameters. Results can be found in </w:t>
      </w:r>
      <w:r>
        <w:rPr/>
        <w:fldChar w:fldCharType="begin"/>
      </w:r>
      <w:r>
        <w:rPr/>
        <w:instrText> REF _Ref403896597 \h </w:instrText>
      </w:r>
      <w:r>
        <w:rPr/>
        <w:fldChar w:fldCharType="separate"/>
      </w:r>
      <w:r>
        <w:rPr/>
        <w:t>Table  4 –1</w:t>
      </w:r>
      <w:r>
        <w:rPr/>
        <w:fldChar w:fldCharType="end"/>
      </w:r>
      <w:r>
        <w:rPr/>
        <w:t xml:space="preserve">. In </w:t>
      </w:r>
      <w:r>
        <w:rPr/>
        <w:fldChar w:fldCharType="begin"/>
      </w:r>
      <w:r>
        <w:rPr/>
        <w:instrText> REF _Ref426430108 \h </w:instrText>
      </w:r>
      <w:r>
        <w:rPr/>
        <w:fldChar w:fldCharType="separate"/>
      </w:r>
      <w:r>
        <w:rPr/>
        <w:t>Figure  4 –5</w:t>
      </w:r>
      <w:r>
        <w:rPr/>
        <w:fldChar w:fldCharType="end"/>
      </w:r>
      <w:r>
        <w:rPr/>
        <w:t xml:space="preserve">, the cumulative probability plot of the </w:t>
      </w:r>
      <w:r>
        <w:rPr>
          <w:rStyle w:val="Dkwadraat"/>
          <w:i/>
        </w:rPr>
        <w:t>d</w:t>
      </w:r>
      <w:r>
        <w:rPr>
          <w:rStyle w:val="Dkwadraat"/>
          <w:vertAlign w:val="superscript"/>
        </w:rPr>
        <w:t>2</w:t>
      </w:r>
      <w:r>
        <w:rPr/>
        <w:t xml:space="preserve">-values of the </w:t>
      </w:r>
      <w:r>
        <w:rPr>
          <w:rStyle w:val="Nietafbreken"/>
          <w:i/>
        </w:rPr>
        <w:t>ELIbe</w:t>
      </w:r>
      <w:r>
        <w:rPr/>
        <w:t xml:space="preserve"> data set can be found as an example of the trimming procedure. Note that the remaining cases of the trimmed data set (thick line) follow the theoretical cumulative </w:t>
      </w:r>
      <w:r>
        <w:rPr>
          <w:rFonts w:eastAsia="Symbol" w:cs="Symbol" w:ascii="Symbol" w:hAnsi="Symbol"/>
        </w:rPr>
        <w:t></w:t>
      </w:r>
      <w:r>
        <w:rPr>
          <w:vertAlign w:val="superscript"/>
        </w:rPr>
        <w:t>2</w:t>
      </w:r>
      <w:r>
        <w:rPr/>
        <w:t xml:space="preserve">(2) probability distribution (thin line). The corresponding adapted size-adjusted KS test-statistic is 0.855 with an associated </w:t>
      </w:r>
      <w:r>
        <w:rPr>
          <w:i/>
        </w:rPr>
        <w:t>p</w:t>
      </w:r>
      <w:r>
        <w:rPr/>
        <w:t>-value of 0.072. Hence, the conclusion can be drawn that the cases of this trimmed data set are part of a wider bivariate Gaussian distribution.</w:t>
      </w:r>
    </w:p>
    <w:p>
      <w:pPr>
        <w:pStyle w:val="Normal"/>
        <w:rPr/>
      </w:pPr>
      <w:r>
        <w:rPr/>
        <w:t>From the means (</w:t>
      </w:r>
      <w:r>
        <w:rPr>
          <w:i/>
        </w:rPr>
        <w:t>m</w:t>
      </w:r>
      <w:r>
        <w:rPr/>
        <w:t>), standard deviations (</w:t>
      </w:r>
      <w:r>
        <w:rPr>
          <w:i/>
        </w:rPr>
        <w:t>s</w:t>
      </w:r>
      <w:r>
        <w:rPr/>
        <w:t>) and correlation coefficients (</w:t>
      </w:r>
      <w:r>
        <w:rPr>
          <w:i/>
        </w:rPr>
        <w:t>r</w:t>
      </w:r>
      <w:r>
        <w:rPr/>
        <w:t>) presented in</w:t>
      </w:r>
      <w:r>
        <w:rPr>
          <w:b/>
        </w:rPr>
        <w:t xml:space="preserve"> </w:t>
      </w:r>
      <w:r>
        <w:rPr>
          <w:b/>
        </w:rPr>
        <w:fldChar w:fldCharType="begin"/>
      </w:r>
      <w:r>
        <w:rPr>
          <w:b/>
        </w:rPr>
        <w:instrText> REF _Ref403896597 \h </w:instrText>
      </w:r>
      <w:r>
        <w:rPr>
          <w:b/>
        </w:rPr>
        <w:fldChar w:fldCharType="separate"/>
      </w:r>
      <w:r>
        <w:rPr>
          <w:b/>
        </w:rPr>
        <w:t>Table  4 –1</w:t>
      </w:r>
      <w:r>
        <w:rPr>
          <w:b/>
        </w:rPr>
        <w:fldChar w:fldCharType="end"/>
      </w:r>
      <w:r>
        <w:rPr/>
        <w:t>,</w:t>
      </w:r>
      <w:r>
        <w:rPr>
          <w:b/>
        </w:rPr>
        <w:t xml:space="preserve"> </w:t>
      </w:r>
      <w:r>
        <w:rPr/>
        <w:t>the final background model parameters for each data set can be constructed. With the background model parameters, 95% and 30% equal probability ellipses were constructed for each data set and displayed in their respective tri-axial charts (</w:t>
      </w:r>
      <w:r>
        <w:rPr/>
        <w:fldChar w:fldCharType="begin"/>
      </w:r>
      <w:r>
        <w:rPr/>
        <w:instrText> REF _Ref426429482 \h </w:instrText>
      </w:r>
      <w:r>
        <w:rPr/>
        <w:fldChar w:fldCharType="separate"/>
      </w:r>
      <w:r>
        <w:rPr/>
        <w:t>Figure  4 –6</w:t>
      </w:r>
      <w:r>
        <w:rPr/>
        <w:fldChar w:fldCharType="end"/>
      </w:r>
      <w:r>
        <w:rPr/>
        <w:t xml:space="preserve"> to </w:t>
      </w:r>
      <w:r>
        <w:rPr/>
        <w:fldChar w:fldCharType="begin"/>
      </w:r>
      <w:r>
        <w:rPr/>
        <w:instrText> REF _Ref426429493 \h </w:instrText>
      </w:r>
      <w:r>
        <w:rPr/>
        <w:fldChar w:fldCharType="separate"/>
      </w:r>
      <w:r>
        <w:rPr/>
        <w:t>Figure  4 –11</w:t>
      </w:r>
      <w:r>
        <w:rPr/>
        <w:fldChar w:fldCharType="end"/>
      </w:r>
      <w:r>
        <w:rPr/>
        <w:t xml:space="preserve">). The differences between the corrected 0.95 and 0.30 fractiles (Equation </w:t>
      </w:r>
      <w:r>
        <w:rPr/>
        <w:fldChar w:fldCharType="begin"/>
      </w:r>
      <w:r>
        <w:rPr/>
        <w:instrText> REF Equation_C \h </w:instrText>
      </w:r>
      <w:r>
        <w:rPr/>
        <w:fldChar w:fldCharType="separate"/>
      </w:r>
      <w:r>
        <w:rPr/>
        <w:t xml:space="preserve"> 4 –2</w:t>
      </w:r>
      <w:r>
        <w:rPr/>
        <w:fldChar w:fldCharType="end"/>
      </w:r>
      <w:r>
        <w:rPr/>
        <w:t xml:space="preserve">) for the </w:t>
      </w:r>
      <w:r>
        <w:rPr>
          <w:rStyle w:val="Nietafbreken"/>
          <w:i/>
        </w:rPr>
        <w:t>ELIbe</w:t>
      </w:r>
      <w:r>
        <w:rPr/>
        <w:t xml:space="preserve"> data set (respectively 6.01 and 0.714) and the actual 0.95 and 0.30 </w:t>
      </w:r>
      <w:r>
        <w:rPr>
          <w:rFonts w:eastAsia="Symbol" w:cs="Symbol" w:ascii="Symbol" w:hAnsi="Symbol"/>
        </w:rPr>
        <w:t></w:t>
      </w:r>
      <w:r>
        <w:rPr>
          <w:vertAlign w:val="superscript"/>
        </w:rPr>
        <w:t>2</w:t>
      </w:r>
      <w:r>
        <w:rPr/>
        <w:t xml:space="preserve">(2) fractiles (respectively 5.99 and 0.713) are only small. Since the number of trimmed cases in this data set is the largest of all data sets (382 cases), differences between corrected and actual fractiles will be even smaller for other data sets. Therefore, equal probability ellipses for each data set are based on the true </w:t>
      </w:r>
      <w:r>
        <w:rPr>
          <w:rFonts w:eastAsia="Symbol" w:cs="Symbol" w:ascii="Symbol" w:hAnsi="Symbol"/>
        </w:rPr>
        <w:t></w:t>
      </w:r>
      <w:r>
        <w:rPr>
          <w:vertAlign w:val="superscript"/>
        </w:rPr>
        <w:t>2</w:t>
      </w:r>
      <w:r>
        <w:rPr/>
        <w:t>(2) fractiles rather than on their corrections.</w:t>
      </w:r>
    </w:p>
    <w:p>
      <w:pPr>
        <w:pStyle w:val="Normal"/>
        <w:rPr/>
      </w:pPr>
      <w:r>
        <w:rPr/>
        <w:t xml:space="preserve">Compared to the standard univariate reference region (the hexagon shaped figure) the 95% equal probability ellipses (outer ellipses) are relatively large. The location and orientation of the ellipses for the data sets </w:t>
      </w:r>
      <w:r>
        <w:rPr>
          <w:rStyle w:val="Nietafbreken"/>
          <w:i/>
        </w:rPr>
        <w:t>ELIbe</w:t>
      </w:r>
      <w:r>
        <w:rPr/>
        <w:t xml:space="preserve"> (</w:t>
      </w:r>
      <w:r>
        <w:rPr/>
        <w:fldChar w:fldCharType="begin"/>
      </w:r>
      <w:r>
        <w:rPr/>
        <w:instrText> REF _Ref426429482 \h </w:instrText>
      </w:r>
      <w:r>
        <w:rPr/>
        <w:fldChar w:fldCharType="separate"/>
      </w:r>
      <w:r>
        <w:rPr/>
        <w:t>Figure  4 –6</w:t>
      </w:r>
      <w:r>
        <w:rPr/>
        <w:fldChar w:fldCharType="end"/>
      </w:r>
      <w:r>
        <w:rPr/>
        <w:t xml:space="preserve">) and </w:t>
      </w:r>
      <w:r>
        <w:rPr>
          <w:rStyle w:val="Nietafbreken"/>
          <w:i/>
        </w:rPr>
        <w:t>OLVGbe</w:t>
      </w:r>
      <w:r>
        <w:rPr/>
        <w:t xml:space="preserve"> (</w:t>
      </w:r>
      <w:r>
        <w:rPr/>
        <w:fldChar w:fldCharType="begin"/>
      </w:r>
      <w:r>
        <w:rPr/>
        <w:instrText> REF _Ref426430240 \h </w:instrText>
      </w:r>
      <w:r>
        <w:rPr/>
        <w:fldChar w:fldCharType="separate"/>
      </w:r>
      <w:r>
        <w:rPr/>
        <w:t>Figure  4 –7</w:t>
      </w:r>
      <w:r>
        <w:rPr/>
        <w:fldChar w:fldCharType="end"/>
      </w:r>
      <w:r>
        <w:rPr/>
        <w:t xml:space="preserve">) are comparable. Their 30% equal probability ellipses both cover almost the entire standard univariate reference region. Both data sets come from a general ICU of a non-academic hospital. However, the ellipses of the </w:t>
      </w:r>
      <w:r>
        <w:rPr>
          <w:rStyle w:val="Nietafbreken"/>
          <w:i/>
        </w:rPr>
        <w:t>AZRbe</w:t>
      </w:r>
      <w:r>
        <w:rPr/>
        <w:t xml:space="preserve"> data set (</w:t>
      </w:r>
      <w:r>
        <w:rPr/>
        <w:fldChar w:fldCharType="begin"/>
      </w:r>
      <w:r>
        <w:rPr/>
        <w:instrText> REF _Ref426430264 \h </w:instrText>
      </w:r>
      <w:r>
        <w:rPr/>
        <w:fldChar w:fldCharType="separate"/>
      </w:r>
      <w:r>
        <w:rPr/>
        <w:t>Figure  4 –8</w:t>
      </w:r>
      <w:r>
        <w:rPr/>
        <w:fldChar w:fldCharType="end"/>
      </w:r>
      <w:r>
        <w:rPr/>
        <w:t>) are shifted towards a region with higher pH values and lower PaCO</w:t>
      </w:r>
      <w:r>
        <w:rPr>
          <w:vertAlign w:val="subscript"/>
        </w:rPr>
        <w:t>2</w:t>
      </w:r>
      <w:r>
        <w:rPr/>
        <w:t xml:space="preserve"> values. The correlation coefficient </w:t>
      </w:r>
      <w:r>
        <w:rPr>
          <w:i/>
        </w:rPr>
        <w:t>r</w:t>
      </w:r>
      <w:r>
        <w:rPr/>
        <w:t xml:space="preserve"> between PC1' and PC2' is -0.20 (see </w:t>
      </w:r>
      <w:r>
        <w:rPr/>
        <w:fldChar w:fldCharType="begin"/>
      </w:r>
      <w:r>
        <w:rPr/>
        <w:instrText> REF _Ref403896597 \h </w:instrText>
      </w:r>
      <w:r>
        <w:rPr/>
        <w:fldChar w:fldCharType="separate"/>
      </w:r>
      <w:r>
        <w:rPr/>
        <w:t>Table  4 –1</w:t>
      </w:r>
      <w:r>
        <w:rPr/>
        <w:fldChar w:fldCharType="end"/>
      </w:r>
      <w:r>
        <w:rPr/>
        <w:t xml:space="preserve">). Location and shape of the ellipses of the </w:t>
      </w:r>
      <w:r>
        <w:rPr>
          <w:rStyle w:val="Nietafbreken"/>
          <w:i/>
        </w:rPr>
        <w:t>AZRbe</w:t>
      </w:r>
      <w:r>
        <w:rPr/>
        <w:t xml:space="preserve"> data set indicate that a large portion of the acid-base data from this data set is indicative for a respiratory alkalosis. The </w:t>
      </w:r>
      <w:r>
        <w:rPr>
          <w:rStyle w:val="Nietafbreken"/>
          <w:i/>
        </w:rPr>
        <w:t>AZRbe</w:t>
      </w:r>
      <w:r>
        <w:rPr/>
        <w:t xml:space="preserve"> data set comes from the respiratory ICU of the academic hospital Dijkzigt. In </w:t>
      </w:r>
      <w:r>
        <w:rPr/>
        <w:fldChar w:fldCharType="begin"/>
      </w:r>
      <w:r>
        <w:rPr/>
        <w:instrText> REF _Ref426430300 \h </w:instrText>
      </w:r>
      <w:r>
        <w:rPr/>
        <w:fldChar w:fldCharType="separate"/>
      </w:r>
      <w:r>
        <w:rPr/>
        <w:t>Figure  4 –9</w:t>
      </w:r>
      <w:r>
        <w:rPr/>
        <w:fldChar w:fldCharType="end"/>
      </w:r>
      <w:r>
        <w:rPr/>
        <w:t>, the ellipses of the neonatal ICU of the Sophia Children’s hospital can be found. With respect to the hexagon in this figure and other data sets, the ellipses are shifted towards lower pH values, higher PaCO</w:t>
      </w:r>
      <w:r>
        <w:rPr>
          <w:vertAlign w:val="subscript"/>
        </w:rPr>
        <w:t>2</w:t>
      </w:r>
      <w:r>
        <w:rPr/>
        <w:t xml:space="preserve"> values and lower BE values. This area is associated with combined respiratory and metabolic acidoses. Moreover, most of the variation in the data set is caused by variation in PaCO</w:t>
      </w:r>
      <w:r>
        <w:rPr>
          <w:vertAlign w:val="subscript"/>
        </w:rPr>
        <w:t>2</w:t>
      </w:r>
      <w:r>
        <w:rPr/>
        <w:t xml:space="preserve"> values rather than BE values. This can be easily appreciated by (mentally) projecting the ellipses onto the PaCO</w:t>
      </w:r>
      <w:r>
        <w:rPr>
          <w:vertAlign w:val="subscript"/>
        </w:rPr>
        <w:t>2</w:t>
      </w:r>
      <w:r>
        <w:rPr/>
        <w:t xml:space="preserve"> and BE axis, respectively. The projected ellipses would cover a much larger area on the PaCO</w:t>
      </w:r>
      <w:r>
        <w:rPr>
          <w:vertAlign w:val="subscript"/>
        </w:rPr>
        <w:t>2</w:t>
      </w:r>
      <w:r>
        <w:rPr/>
        <w:t xml:space="preserve"> axis than on the BE axis.</w:t>
      </w:r>
      <w:r>
        <mc:AlternateContent>
          <mc:Choice Requires="wps">
            <w:drawing>
              <wp:anchor behindDoc="0" distT="114935" distB="0" distL="114935" distR="114935" simplePos="0" locked="0" layoutInCell="1" allowOverlap="1" relativeHeight="14">
                <wp:simplePos x="0" y="0"/>
                <wp:positionH relativeFrom="margin">
                  <wp:align>center</wp:align>
                </wp:positionH>
                <wp:positionV relativeFrom="margin">
                  <wp:align>bottom</wp:align>
                </wp:positionV>
                <wp:extent cx="4680585" cy="4368800"/>
                <wp:effectExtent l="0" t="0" r="0" b="0"/>
                <wp:wrapTopAndBottom/>
                <wp:docPr id="15" name="Frame7"/>
                <a:graphic xmlns:a="http://schemas.openxmlformats.org/drawingml/2006/main">
                  <a:graphicData uri="http://schemas.microsoft.com/office/word/2010/wordprocessingShape">
                    <wps:wsp>
                      <wps:cNvSpPr txBox="1"/>
                      <wps:spPr>
                        <a:xfrm>
                          <a:off x="0" y="0"/>
                          <a:ext cx="4680585" cy="4368800"/>
                        </a:xfrm>
                        <a:prstGeom prst="rect"/>
                        <a:solidFill>
                          <a:srgbClr val="FFFFFF">
                            <a:alpha val="0"/>
                          </a:srgbClr>
                        </a:solidFill>
                      </wps:spPr>
                      <wps:txbx>
                        <w:txbxContent>
                          <w:p>
                            <w:pPr>
                              <w:pStyle w:val="Plaatsingfiguur"/>
                              <w:rPr>
                                <w:rStyle w:val="Buffer"/>
                              </w:rPr>
                            </w:pPr>
                            <w:r>
                              <w:rPr>
                                <w:rStyle w:val="Buffer"/>
                              </w:rPr>
                              <w:drawing>
                                <wp:inline distT="0" distB="0" distL="0" distR="0">
                                  <wp:extent cx="3378200" cy="27305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rcRect l="-15" t="-18" r="-15" b="-18"/>
                                          <a:stretch>
                                            <a:fillRect/>
                                          </a:stretch>
                                        </pic:blipFill>
                                        <pic:spPr bwMode="auto">
                                          <a:xfrm>
                                            <a:off x="0" y="0"/>
                                            <a:ext cx="3378200" cy="27305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3" w:name="_Ref426430108"/>
                            <w:r>
                              <w:rPr>
                                <w:rStyle w:val="Buffer"/>
                              </w:rPr>
                              <w:t>F</w:t>
                            </w:r>
                            <w:r>
                              <w:rPr/>
                              <w:t xml:space="preserve">igure </w:t>
                            </w:r>
                            <w:r>
                              <w:fldChar w:fldCharType="begin"/>
                            </w:r>
                            <w:r>
                              <w:rPr/>
                              <w:instrText> STYLEREF 1 \s </w:instrText>
                            </w:r>
                            <w:r>
                              <w:rPr/>
                              <w:fldChar w:fldCharType="separate"/>
                            </w:r>
                            <w:bookmarkStart w:id="54" w:name="__Fieldmark__29_4042815248"/>
                            <w:r>
                              <w:rPr>
                                <w:lang w:val="en-US"/>
                              </w:rPr>
                              <w:t>4</w:t>
                            </w:r>
                            <w:r>
                              <w:rPr>
                                <w:lang w:val="en-US"/>
                              </w:rPr>
                            </w:r>
                            <w:r>
                              <w:rPr/>
                              <w:fldChar w:fldCharType="end"/>
                            </w:r>
                            <w:bookmarkEnd w:id="54"/>
                            <w:r>
                              <w:rPr/>
                              <w:t>–</w:t>
                            </w:r>
                            <w:r>
                              <w:rPr/>
                              <w:fldChar w:fldCharType="begin"/>
                            </w:r>
                            <w:r>
                              <w:rPr/>
                              <w:instrText> SEQ Figure \* ARABIC </w:instrText>
                            </w:r>
                            <w:r>
                              <w:rPr/>
                              <w:fldChar w:fldCharType="separate"/>
                            </w:r>
                            <w:r>
                              <w:rPr/>
                              <w:t>5</w:t>
                            </w:r>
                            <w:r>
                              <w:rPr/>
                              <w:fldChar w:fldCharType="end"/>
                            </w:r>
                            <w:bookmarkEnd w:id="53"/>
                            <w:r>
                              <w:rPr/>
                              <w:t xml:space="preserve">. Fit of the observed cumulative probabilities of the remaining </w:t>
                            </w:r>
                            <w:r>
                              <w:rPr>
                                <w:rStyle w:val="Dkwadraat"/>
                              </w:rPr>
                              <w:t>d</w:t>
                            </w:r>
                            <w:r>
                              <w:rPr>
                                <w:rStyle w:val="Dkwadraat"/>
                                <w:i/>
                                <w:vertAlign w:val="superscript"/>
                              </w:rPr>
                              <w:t>2</w:t>
                            </w:r>
                            <w:r>
                              <w:rPr/>
                              <w:t xml:space="preserve">values of the trimmed </w:t>
                            </w:r>
                            <w:r>
                              <w:rPr>
                                <w:rStyle w:val="Nietafbreken"/>
                              </w:rPr>
                              <w:t>ELIbe</w:t>
                            </w:r>
                            <w:r>
                              <w:rPr/>
                              <w:t xml:space="preserve"> data set (thick line) with the theoretical cumulative </w:t>
                            </w:r>
                            <w:r>
                              <w:rPr>
                                <w:rStyle w:val="Dkwadraat"/>
                                <w:rFonts w:eastAsia="Symbol" w:cs="Symbol" w:ascii="Symbol" w:hAnsi="Symbol"/>
                                <w:sz w:val="24"/>
                              </w:rPr>
                              <w:t></w:t>
                            </w:r>
                            <w:r>
                              <w:rPr>
                                <w:rStyle w:val="Dkwadraat"/>
                                <w:i/>
                                <w:sz w:val="24"/>
                                <w:vertAlign w:val="superscript"/>
                              </w:rPr>
                              <w:t>2</w:t>
                            </w:r>
                            <w:r>
                              <w:rPr/>
                              <w:t>(2) probability distribution (thin line). P is the cumulative probability. *D</w:t>
                            </w:r>
                            <w:r>
                              <w:rPr>
                                <w:vertAlign w:val="subscript"/>
                              </w:rPr>
                              <w:t>max</w:t>
                            </w:r>
                            <w:r>
                              <w:rPr/>
                              <w:t xml:space="preserve"> is the test statistic of the adapted and size-adjusted Kolmogorov-Smirnov test, indicating the degree of fit of the </w:t>
                            </w:r>
                            <w:r>
                              <w:rPr>
                                <w:rStyle w:val="Dkwadraat"/>
                              </w:rPr>
                              <w:t>d</w:t>
                            </w:r>
                            <w:r>
                              <w:rPr>
                                <w:rStyle w:val="Dkwadraat"/>
                                <w:i/>
                                <w:vertAlign w:val="superscript"/>
                              </w:rPr>
                              <w:t>2</w:t>
                            </w:r>
                            <w:r>
                              <w:rPr/>
                              <w:t>values with the theoretical distribution. In this case there is not enough evidence (p &gt; 0.05) to reject the H</w:t>
                            </w:r>
                            <w:r>
                              <w:rPr>
                                <w:vertAlign w:val="subscript"/>
                              </w:rPr>
                              <w:t>o</w:t>
                            </w:r>
                            <w:r>
                              <w:rPr/>
                              <w:t>-hypothesis of fit.</w:t>
                            </w:r>
                          </w:p>
                        </w:txbxContent>
                      </wps:txbx>
                      <wps:bodyPr anchor="t" lIns="0" tIns="0" rIns="0" bIns="0">
                        <a:noAutofit/>
                      </wps:bodyPr>
                    </wps:wsp>
                  </a:graphicData>
                </a:graphic>
              </wp:anchor>
            </w:drawing>
          </mc:Choice>
          <mc:Fallback>
            <w:pict>
              <v:rect fillcolor="#FFFFFF" style="position:absolute;rotation:0;width:368.55pt;height:344pt;mso-wrap-distance-left:9.05pt;mso-wrap-distance-right:9.05pt;mso-wrap-distance-top:9.05pt;mso-wrap-distance-bottom:0pt;margin-top:327.8pt;mso-position-vertical:bottom;mso-position-vertical-relative:margin;margin-left:49.6pt;mso-position-horizontal:center;mso-position-horizontal-relative:margin">
                <v:fill opacity="0f"/>
                <v:textbox>
                  <w:txbxContent>
                    <w:p>
                      <w:pPr>
                        <w:pStyle w:val="Plaatsingfiguur"/>
                        <w:rPr>
                          <w:rStyle w:val="Buffer"/>
                        </w:rPr>
                      </w:pPr>
                      <w:r>
                        <w:rPr>
                          <w:rStyle w:val="Buffer"/>
                        </w:rPr>
                        <w:drawing>
                          <wp:inline distT="0" distB="0" distL="0" distR="0">
                            <wp:extent cx="3378200" cy="27305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rcRect l="-15" t="-18" r="-15" b="-18"/>
                                    <a:stretch>
                                      <a:fillRect/>
                                    </a:stretch>
                                  </pic:blipFill>
                                  <pic:spPr bwMode="auto">
                                    <a:xfrm>
                                      <a:off x="0" y="0"/>
                                      <a:ext cx="3378200" cy="27305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5" w:name="_Ref426430108"/>
                      <w:r>
                        <w:rPr>
                          <w:rStyle w:val="Buffer"/>
                        </w:rPr>
                        <w:t>F</w:t>
                      </w:r>
                      <w:r>
                        <w:rPr/>
                        <w:t xml:space="preserve">igure </w:t>
                      </w:r>
                      <w:r>
                        <w:fldChar w:fldCharType="begin"/>
                      </w:r>
                      <w:r>
                        <w:rPr/>
                        <w:instrText> STYLEREF 1 \s </w:instrText>
                      </w:r>
                      <w:r>
                        <w:rPr/>
                        <w:fldChar w:fldCharType="separate"/>
                      </w:r>
                      <w:bookmarkStart w:id="56" w:name="__Fieldmark__29_4042815248"/>
                      <w:r>
                        <w:rPr>
                          <w:lang w:val="en-US"/>
                        </w:rPr>
                        <w:t>4</w:t>
                      </w:r>
                      <w:r>
                        <w:rPr>
                          <w:lang w:val="en-US"/>
                        </w:rPr>
                      </w:r>
                      <w:r>
                        <w:rPr/>
                        <w:fldChar w:fldCharType="end"/>
                      </w:r>
                      <w:bookmarkEnd w:id="56"/>
                      <w:r>
                        <w:rPr/>
                        <w:t>–</w:t>
                      </w:r>
                      <w:r>
                        <w:rPr/>
                        <w:fldChar w:fldCharType="begin"/>
                      </w:r>
                      <w:r>
                        <w:rPr/>
                        <w:instrText> SEQ Figure \* ARABIC </w:instrText>
                      </w:r>
                      <w:r>
                        <w:rPr/>
                        <w:fldChar w:fldCharType="separate"/>
                      </w:r>
                      <w:r>
                        <w:rPr/>
                        <w:t>5</w:t>
                      </w:r>
                      <w:r>
                        <w:rPr/>
                        <w:fldChar w:fldCharType="end"/>
                      </w:r>
                      <w:bookmarkEnd w:id="55"/>
                      <w:r>
                        <w:rPr/>
                        <w:t xml:space="preserve">. Fit of the observed cumulative probabilities of the remaining </w:t>
                      </w:r>
                      <w:r>
                        <w:rPr>
                          <w:rStyle w:val="Dkwadraat"/>
                        </w:rPr>
                        <w:t>d</w:t>
                      </w:r>
                      <w:r>
                        <w:rPr>
                          <w:rStyle w:val="Dkwadraat"/>
                          <w:i/>
                          <w:vertAlign w:val="superscript"/>
                        </w:rPr>
                        <w:t>2</w:t>
                      </w:r>
                      <w:r>
                        <w:rPr/>
                        <w:t xml:space="preserve">values of the trimmed </w:t>
                      </w:r>
                      <w:r>
                        <w:rPr>
                          <w:rStyle w:val="Nietafbreken"/>
                        </w:rPr>
                        <w:t>ELIbe</w:t>
                      </w:r>
                      <w:r>
                        <w:rPr/>
                        <w:t xml:space="preserve"> data set (thick line) with the theoretical cumulative </w:t>
                      </w:r>
                      <w:r>
                        <w:rPr>
                          <w:rStyle w:val="Dkwadraat"/>
                          <w:rFonts w:eastAsia="Symbol" w:cs="Symbol" w:ascii="Symbol" w:hAnsi="Symbol"/>
                          <w:sz w:val="24"/>
                        </w:rPr>
                        <w:t></w:t>
                      </w:r>
                      <w:r>
                        <w:rPr>
                          <w:rStyle w:val="Dkwadraat"/>
                          <w:i/>
                          <w:sz w:val="24"/>
                          <w:vertAlign w:val="superscript"/>
                        </w:rPr>
                        <w:t>2</w:t>
                      </w:r>
                      <w:r>
                        <w:rPr/>
                        <w:t>(2) probability distribution (thin line). P is the cumulative probability. *D</w:t>
                      </w:r>
                      <w:r>
                        <w:rPr>
                          <w:vertAlign w:val="subscript"/>
                        </w:rPr>
                        <w:t>max</w:t>
                      </w:r>
                      <w:r>
                        <w:rPr/>
                        <w:t xml:space="preserve"> is the test statistic of the adapted and size-adjusted Kolmogorov-Smirnov test, indicating the degree of fit of the </w:t>
                      </w:r>
                      <w:r>
                        <w:rPr>
                          <w:rStyle w:val="Dkwadraat"/>
                        </w:rPr>
                        <w:t>d</w:t>
                      </w:r>
                      <w:r>
                        <w:rPr>
                          <w:rStyle w:val="Dkwadraat"/>
                          <w:i/>
                          <w:vertAlign w:val="superscript"/>
                        </w:rPr>
                        <w:t>2</w:t>
                      </w:r>
                      <w:r>
                        <w:rPr/>
                        <w:t>values with the theoretical distribution. In this case there is not enough evidence (p &gt; 0.05) to reject the H</w:t>
                      </w:r>
                      <w:r>
                        <w:rPr>
                          <w:vertAlign w:val="subscript"/>
                        </w:rPr>
                        <w:t>o</w:t>
                      </w:r>
                      <w:r>
                        <w:rPr/>
                        <w:t>-hypothesis of fit.</w:t>
                      </w:r>
                    </w:p>
                  </w:txbxContent>
                </v:textbox>
                <w10:wrap type="topAndBottom"/>
              </v:rect>
            </w:pict>
          </mc:Fallback>
        </mc:AlternateContent>
      </w:r>
      <w:r>
        <mc:AlternateContent>
          <mc:Choice Requires="wps">
            <w:drawing>
              <wp:anchor behindDoc="0" distT="0" distB="114935" distL="114935" distR="114935" simplePos="0" locked="0" layoutInCell="1" allowOverlap="1" relativeHeight="16">
                <wp:simplePos x="0" y="0"/>
                <wp:positionH relativeFrom="margin">
                  <wp:align>center</wp:align>
                </wp:positionH>
                <wp:positionV relativeFrom="margin">
                  <wp:align>top</wp:align>
                </wp:positionV>
                <wp:extent cx="5957570" cy="4994275"/>
                <wp:effectExtent l="0" t="0" r="0" b="0"/>
                <wp:wrapTopAndBottom/>
                <wp:docPr id="18" name="Frame9"/>
                <a:graphic xmlns:a="http://schemas.openxmlformats.org/drawingml/2006/main">
                  <a:graphicData uri="http://schemas.microsoft.com/office/word/2010/wordprocessingShape">
                    <wps:wsp>
                      <wps:cNvSpPr txBox="1"/>
                      <wps:spPr>
                        <a:xfrm>
                          <a:off x="0" y="0"/>
                          <a:ext cx="5957570" cy="4994275"/>
                        </a:xfrm>
                        <a:prstGeom prst="rect"/>
                        <a:solidFill>
                          <a:srgbClr val="FFFFFF">
                            <a:alpha val="0"/>
                          </a:srgbClr>
                        </a:solidFill>
                      </wps:spPr>
                      <wps:txbx>
                        <w:txbxContent>
                          <w:p>
                            <w:pPr>
                              <w:pStyle w:val="Tabelbeschrijving"/>
                              <w:rPr/>
                            </w:pPr>
                            <w:bookmarkStart w:id="57" w:name="_Ref403896597"/>
                            <w:r>
                              <w:rPr>
                                <w:rStyle w:val="Buffer"/>
                                <w:lang w:val="en-US"/>
                              </w:rPr>
                              <w:t>T</w:t>
                            </w:r>
                            <w:r>
                              <w:rPr>
                                <w:lang w:val="en-US"/>
                              </w:rPr>
                              <w:t xml:space="preserve">able </w:t>
                            </w:r>
                            <w:r>
                              <w:fldChar w:fldCharType="begin"/>
                            </w:r>
                            <w:r>
                              <w:rPr/>
                              <w:instrText> STYLEREF 1 \s </w:instrText>
                            </w:r>
                            <w:r>
                              <w:rPr/>
                              <w:fldChar w:fldCharType="separate"/>
                            </w:r>
                            <w:bookmarkStart w:id="58" w:name="__Fieldmark__30_4042815248"/>
                            <w:r>
                              <w:rPr>
                                <w:lang w:val="en-US"/>
                              </w:rPr>
                              <w:t>4</w:t>
                            </w:r>
                            <w:r>
                              <w:rPr>
                                <w:lang w:val="en-US"/>
                              </w:rPr>
                            </w:r>
                            <w:r>
                              <w:rPr/>
                              <w:fldChar w:fldCharType="end"/>
                            </w:r>
                            <w:bookmarkEnd w:id="58"/>
                            <w:r>
                              <w:rPr>
                                <w:lang w:val="en-US"/>
                              </w:rPr>
                              <w:t>–</w:t>
                            </w:r>
                            <w:r>
                              <w:rPr>
                                <w:lang w:val="en-US"/>
                              </w:rPr>
                              <w:fldChar w:fldCharType="begin"/>
                            </w:r>
                            <w:r>
                              <w:rPr/>
                              <w:instrText> SEQ Table \* ARABIC </w:instrText>
                            </w:r>
                            <w:r>
                              <w:rPr/>
                              <w:fldChar w:fldCharType="separate"/>
                            </w:r>
                            <w:r>
                              <w:rPr/>
                              <w:t>1</w:t>
                            </w:r>
                            <w:r>
                              <w:rPr/>
                              <w:fldChar w:fldCharType="end"/>
                            </w:r>
                            <w:bookmarkEnd w:id="57"/>
                            <w:r>
                              <w:rPr/>
                              <w:t>. Distribution characteristics (m is mean, s is standard deviation and r is Pearson’s product correlation coefficient between PC1' and PC2') after trimming.</w:t>
                            </w:r>
                          </w:p>
                          <w:tbl>
                            <w:tblPr>
                              <w:tblW w:w="9382"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Pr>
                            <w:tblGrid>
                              <w:gridCol w:w="1276"/>
                              <w:gridCol w:w="851"/>
                              <w:gridCol w:w="738"/>
                              <w:gridCol w:w="2097"/>
                              <w:gridCol w:w="850"/>
                              <w:gridCol w:w="923"/>
                              <w:gridCol w:w="924"/>
                              <w:gridCol w:w="923"/>
                              <w:gridCol w:w="800"/>
                            </w:tblGrid>
                            <w:tr>
                              <w:trPr>
                                <w:tblHeader w:val="true"/>
                              </w:trPr>
                              <w:tc>
                                <w:tcPr>
                                  <w:tcW w:w="1276" w:type="dxa"/>
                                  <w:tcBorders>
                                    <w:top w:val="single" w:sz="6" w:space="0" w:color="000000"/>
                                    <w:bottom w:val="single" w:sz="6" w:space="0" w:color="000000"/>
                                    <w:insideH w:val="single" w:sz="6" w:space="0" w:color="000000"/>
                                  </w:tcBorders>
                                  <w:shd w:fill="auto" w:val="clear"/>
                                </w:tcPr>
                                <w:p>
                                  <w:pPr>
                                    <w:pStyle w:val="Tabel"/>
                                    <w:jc w:val="left"/>
                                    <w:rPr/>
                                  </w:pPr>
                                  <w:r>
                                    <w:rPr>
                                      <w:rStyle w:val="Buffer"/>
                                    </w:rPr>
                                    <w:t>data set</w:t>
                                  </w:r>
                                </w:p>
                              </w:tc>
                              <w:tc>
                                <w:tcPr>
                                  <w:tcW w:w="851" w:type="dxa"/>
                                  <w:tcBorders>
                                    <w:top w:val="single" w:sz="6" w:space="0" w:color="000000"/>
                                    <w:bottom w:val="single" w:sz="6" w:space="0" w:color="000000"/>
                                    <w:insideH w:val="single" w:sz="6" w:space="0" w:color="000000"/>
                                  </w:tcBorders>
                                  <w:shd w:fill="auto" w:val="clear"/>
                                </w:tcPr>
                                <w:p>
                                  <w:pPr>
                                    <w:pStyle w:val="Tabel"/>
                                    <w:rPr/>
                                  </w:pPr>
                                  <w:r>
                                    <w:rPr>
                                      <w:i/>
                                    </w:rPr>
                                    <w:t>N</w:t>
                                    <w:br/>
                                  </w:r>
                                  <w:r>
                                    <w:rPr/>
                                    <w:t>total</w:t>
                                  </w:r>
                                </w:p>
                              </w:tc>
                              <w:tc>
                                <w:tcPr>
                                  <w:tcW w:w="738" w:type="dxa"/>
                                  <w:tcBorders>
                                    <w:top w:val="single" w:sz="6" w:space="0" w:color="000000"/>
                                    <w:bottom w:val="single" w:sz="6" w:space="0" w:color="000000"/>
                                    <w:insideH w:val="single" w:sz="6" w:space="0" w:color="000000"/>
                                  </w:tcBorders>
                                  <w:shd w:fill="auto" w:val="clear"/>
                                </w:tcPr>
                                <w:p>
                                  <w:pPr>
                                    <w:pStyle w:val="Tabel"/>
                                    <w:rPr>
                                      <w:spacing w:val="-6"/>
                                    </w:rPr>
                                  </w:pPr>
                                  <w:r>
                                    <w:rPr>
                                      <w:spacing w:val="-6"/>
                                    </w:rPr>
                                    <w:t xml:space="preserve">trimmed </w:t>
                                  </w:r>
                                </w:p>
                              </w:tc>
                              <w:tc>
                                <w:tcPr>
                                  <w:tcW w:w="2097" w:type="dxa"/>
                                  <w:tcBorders>
                                    <w:top w:val="single" w:sz="6" w:space="0" w:color="000000"/>
                                    <w:bottom w:val="single" w:sz="6" w:space="0" w:color="000000"/>
                                    <w:insideH w:val="single" w:sz="6" w:space="0" w:color="000000"/>
                                  </w:tcBorders>
                                  <w:shd w:fill="auto" w:val="clear"/>
                                </w:tcPr>
                                <w:p>
                                  <w:pPr>
                                    <w:pStyle w:val="Tabel"/>
                                    <w:rPr/>
                                  </w:pPr>
                                  <w:r>
                                    <w:rPr/>
                                    <w:t>*D</w:t>
                                  </w:r>
                                  <w:r>
                                    <w:rPr>
                                      <w:vertAlign w:val="subscript"/>
                                    </w:rPr>
                                    <w:t>max</w:t>
                                  </w:r>
                                </w:p>
                              </w:tc>
                              <w:tc>
                                <w:tcPr>
                                  <w:tcW w:w="850" w:type="dxa"/>
                                  <w:tcBorders>
                                    <w:top w:val="single" w:sz="6" w:space="0" w:color="000000"/>
                                    <w:bottom w:val="single" w:sz="6" w:space="0" w:color="000000"/>
                                    <w:insideH w:val="single" w:sz="6" w:space="0" w:color="000000"/>
                                  </w:tcBorders>
                                  <w:shd w:fill="auto" w:val="clear"/>
                                </w:tcPr>
                                <w:p>
                                  <w:pPr>
                                    <w:pStyle w:val="Tabel"/>
                                    <w:rPr/>
                                  </w:pPr>
                                  <w:r>
                                    <w:rPr>
                                      <w:i/>
                                    </w:rPr>
                                    <w:t>m</w:t>
                                  </w:r>
                                  <w:r>
                                    <w:rPr/>
                                    <w:t xml:space="preserve"> PC1'</w:t>
                                  </w:r>
                                </w:p>
                              </w:tc>
                              <w:tc>
                                <w:tcPr>
                                  <w:tcW w:w="923" w:type="dxa"/>
                                  <w:tcBorders>
                                    <w:top w:val="single" w:sz="6" w:space="0" w:color="000000"/>
                                    <w:bottom w:val="single" w:sz="6" w:space="0" w:color="000000"/>
                                    <w:insideH w:val="single" w:sz="6" w:space="0" w:color="000000"/>
                                  </w:tcBorders>
                                  <w:shd w:fill="auto" w:val="clear"/>
                                </w:tcPr>
                                <w:p>
                                  <w:pPr>
                                    <w:pStyle w:val="Tabel"/>
                                    <w:rPr/>
                                  </w:pPr>
                                  <w:r>
                                    <w:rPr>
                                      <w:i/>
                                    </w:rPr>
                                    <w:t>m</w:t>
                                  </w:r>
                                  <w:r>
                                    <w:rPr/>
                                    <w:t xml:space="preserve"> PC2'</w:t>
                                  </w:r>
                                </w:p>
                              </w:tc>
                              <w:tc>
                                <w:tcPr>
                                  <w:tcW w:w="924" w:type="dxa"/>
                                  <w:tcBorders>
                                    <w:top w:val="single" w:sz="6" w:space="0" w:color="000000"/>
                                    <w:bottom w:val="single" w:sz="6" w:space="0" w:color="000000"/>
                                    <w:insideH w:val="single" w:sz="6" w:space="0" w:color="000000"/>
                                  </w:tcBorders>
                                  <w:shd w:fill="auto" w:val="clear"/>
                                </w:tcPr>
                                <w:p>
                                  <w:pPr>
                                    <w:pStyle w:val="Tabel"/>
                                    <w:rPr/>
                                  </w:pPr>
                                  <w:r>
                                    <w:rPr>
                                      <w:i/>
                                    </w:rPr>
                                    <w:t>s</w:t>
                                    <w:br/>
                                  </w:r>
                                  <w:r>
                                    <w:rPr/>
                                    <w:t xml:space="preserve"> PC1'</w:t>
                                  </w:r>
                                </w:p>
                              </w:tc>
                              <w:tc>
                                <w:tcPr>
                                  <w:tcW w:w="923" w:type="dxa"/>
                                  <w:tcBorders>
                                    <w:top w:val="single" w:sz="6" w:space="0" w:color="000000"/>
                                    <w:bottom w:val="single" w:sz="6" w:space="0" w:color="000000"/>
                                    <w:insideH w:val="single" w:sz="6" w:space="0" w:color="000000"/>
                                  </w:tcBorders>
                                  <w:shd w:fill="auto" w:val="clear"/>
                                </w:tcPr>
                                <w:p>
                                  <w:pPr>
                                    <w:pStyle w:val="Tabel"/>
                                    <w:rPr/>
                                  </w:pPr>
                                  <w:r>
                                    <w:rPr>
                                      <w:i/>
                                    </w:rPr>
                                    <w:t>s</w:t>
                                    <w:br/>
                                  </w:r>
                                  <w:r>
                                    <w:rPr/>
                                    <w:t xml:space="preserve"> PC2'</w:t>
                                  </w:r>
                                </w:p>
                              </w:tc>
                              <w:tc>
                                <w:tcPr>
                                  <w:tcW w:w="800" w:type="dxa"/>
                                  <w:tcBorders>
                                    <w:top w:val="single" w:sz="6" w:space="0" w:color="000000"/>
                                    <w:bottom w:val="single" w:sz="6" w:space="0" w:color="000000"/>
                                    <w:insideH w:val="single" w:sz="6" w:space="0" w:color="000000"/>
                                  </w:tcBorders>
                                  <w:shd w:fill="auto" w:val="clear"/>
                                </w:tcPr>
                                <w:p>
                                  <w:pPr>
                                    <w:pStyle w:val="Tabel"/>
                                    <w:rPr>
                                      <w:i/>
                                      <w:i/>
                                    </w:rPr>
                                  </w:pPr>
                                  <w:r>
                                    <w:rPr>
                                      <w:i/>
                                    </w:rPr>
                                    <w:t>r</w:t>
                                  </w:r>
                                </w:p>
                              </w:tc>
                            </w:tr>
                            <w:tr>
                              <w:trPr/>
                              <w:tc>
                                <w:tcPr>
                                  <w:tcW w:w="1276" w:type="dxa"/>
                                  <w:tcBorders/>
                                  <w:shd w:fill="auto" w:val="clear"/>
                                </w:tcPr>
                                <w:p>
                                  <w:pPr>
                                    <w:pStyle w:val="Tabel"/>
                                    <w:jc w:val="left"/>
                                    <w:rPr/>
                                  </w:pPr>
                                  <w:r>
                                    <w:rPr>
                                      <w:rStyle w:val="Buffer"/>
                                      <w:spacing w:val="-10"/>
                                    </w:rPr>
                                    <w:t>A</w:t>
                                  </w:r>
                                  <w:r>
                                    <w:rPr>
                                      <w:spacing w:val="-10"/>
                                    </w:rPr>
                                    <w:t>ZRbe</w:t>
                                  </w:r>
                                </w:p>
                              </w:tc>
                              <w:tc>
                                <w:tcPr>
                                  <w:tcW w:w="851" w:type="dxa"/>
                                  <w:tcBorders/>
                                  <w:shd w:fill="auto" w:val="clear"/>
                                </w:tcPr>
                                <w:p>
                                  <w:pPr>
                                    <w:pStyle w:val="Tabel"/>
                                    <w:rPr/>
                                  </w:pPr>
                                  <w:r>
                                    <w:rPr/>
                                    <w:t>1500</w:t>
                                  </w:r>
                                </w:p>
                              </w:tc>
                              <w:tc>
                                <w:tcPr>
                                  <w:tcW w:w="738" w:type="dxa"/>
                                  <w:tcBorders/>
                                  <w:shd w:fill="auto" w:val="clear"/>
                                </w:tcPr>
                                <w:p>
                                  <w:pPr>
                                    <w:pStyle w:val="Tabel"/>
                                    <w:rPr/>
                                  </w:pPr>
                                  <w:r>
                                    <w:rPr/>
                                    <w:t>264</w:t>
                                  </w:r>
                                </w:p>
                              </w:tc>
                              <w:tc>
                                <w:tcPr>
                                  <w:tcW w:w="2097" w:type="dxa"/>
                                  <w:tcBorders/>
                                  <w:shd w:fill="auto" w:val="clear"/>
                                </w:tcPr>
                                <w:p>
                                  <w:pPr>
                                    <w:pStyle w:val="Tabel"/>
                                    <w:rPr/>
                                  </w:pPr>
                                  <w:r>
                                    <w:rPr>
                                      <w:spacing w:val="-10"/>
                                    </w:rPr>
                                    <w:t>0.891 (</w:t>
                                  </w:r>
                                  <w:r>
                                    <w:rPr>
                                      <w:i/>
                                      <w:spacing w:val="-10"/>
                                    </w:rPr>
                                    <w:t xml:space="preserve">p </w:t>
                                  </w:r>
                                  <w:r>
                                    <w:rPr>
                                      <w:spacing w:val="-10"/>
                                    </w:rPr>
                                    <w:t>= 0.050)</w:t>
                                  </w:r>
                                </w:p>
                              </w:tc>
                              <w:tc>
                                <w:tcPr>
                                  <w:tcW w:w="850" w:type="dxa"/>
                                  <w:tcBorders/>
                                  <w:shd w:fill="auto" w:val="clear"/>
                                </w:tcPr>
                                <w:p>
                                  <w:pPr>
                                    <w:pStyle w:val="Tabel"/>
                                    <w:rPr/>
                                  </w:pPr>
                                  <w:r>
                                    <w:rPr/>
                                    <w:t>1.93</w:t>
                                  </w:r>
                                </w:p>
                              </w:tc>
                              <w:tc>
                                <w:tcPr>
                                  <w:tcW w:w="923" w:type="dxa"/>
                                  <w:tcBorders/>
                                  <w:shd w:fill="auto" w:val="clear"/>
                                </w:tcPr>
                                <w:p>
                                  <w:pPr>
                                    <w:pStyle w:val="Tabel"/>
                                    <w:rPr/>
                                  </w:pPr>
                                  <w:r>
                                    <w:rPr/>
                                    <w:t>-1.41</w:t>
                                  </w:r>
                                </w:p>
                              </w:tc>
                              <w:tc>
                                <w:tcPr>
                                  <w:tcW w:w="924" w:type="dxa"/>
                                  <w:tcBorders/>
                                  <w:shd w:fill="auto" w:val="clear"/>
                                </w:tcPr>
                                <w:p>
                                  <w:pPr>
                                    <w:pStyle w:val="Tabel"/>
                                    <w:rPr/>
                                  </w:pPr>
                                  <w:r>
                                    <w:rPr/>
                                    <w:t>2.46</w:t>
                                  </w:r>
                                </w:p>
                              </w:tc>
                              <w:tc>
                                <w:tcPr>
                                  <w:tcW w:w="923" w:type="dxa"/>
                                  <w:tcBorders/>
                                  <w:shd w:fill="auto" w:val="clear"/>
                                </w:tcPr>
                                <w:p>
                                  <w:pPr>
                                    <w:pStyle w:val="Tabel"/>
                                    <w:rPr/>
                                  </w:pPr>
                                  <w:r>
                                    <w:rPr/>
                                    <w:t>2.99</w:t>
                                  </w:r>
                                </w:p>
                              </w:tc>
                              <w:tc>
                                <w:tcPr>
                                  <w:tcW w:w="800" w:type="dxa"/>
                                  <w:tcBorders/>
                                  <w:shd w:fill="auto" w:val="clear"/>
                                </w:tcPr>
                                <w:p>
                                  <w:pPr>
                                    <w:pStyle w:val="Tabel"/>
                                    <w:rPr/>
                                  </w:pPr>
                                  <w:r>
                                    <w:rPr/>
                                    <w:t>-0.20</w:t>
                                  </w:r>
                                </w:p>
                              </w:tc>
                            </w:tr>
                            <w:tr>
                              <w:trPr/>
                              <w:tc>
                                <w:tcPr>
                                  <w:tcW w:w="1276" w:type="dxa"/>
                                  <w:tcBorders/>
                                  <w:shd w:fill="auto" w:val="clear"/>
                                </w:tcPr>
                                <w:p>
                                  <w:pPr>
                                    <w:pStyle w:val="Tabel"/>
                                    <w:jc w:val="left"/>
                                    <w:rPr/>
                                  </w:pPr>
                                  <w:r>
                                    <w:rPr>
                                      <w:spacing w:val="-10"/>
                                    </w:rPr>
                                    <w:t>OLVGbe</w:t>
                                  </w:r>
                                </w:p>
                              </w:tc>
                              <w:tc>
                                <w:tcPr>
                                  <w:tcW w:w="851" w:type="dxa"/>
                                  <w:tcBorders/>
                                  <w:shd w:fill="auto" w:val="clear"/>
                                </w:tcPr>
                                <w:p>
                                  <w:pPr>
                                    <w:pStyle w:val="Tabel"/>
                                    <w:rPr/>
                                  </w:pPr>
                                  <w:r>
                                    <w:rPr/>
                                    <w:t>1500</w:t>
                                  </w:r>
                                </w:p>
                              </w:tc>
                              <w:tc>
                                <w:tcPr>
                                  <w:tcW w:w="738" w:type="dxa"/>
                                  <w:tcBorders/>
                                  <w:shd w:fill="auto" w:val="clear"/>
                                </w:tcPr>
                                <w:p>
                                  <w:pPr>
                                    <w:pStyle w:val="Tabel"/>
                                    <w:rPr/>
                                  </w:pPr>
                                  <w:r>
                                    <w:rPr/>
                                    <w:t>151</w:t>
                                  </w:r>
                                </w:p>
                              </w:tc>
                              <w:tc>
                                <w:tcPr>
                                  <w:tcW w:w="2097" w:type="dxa"/>
                                  <w:tcBorders/>
                                  <w:shd w:fill="auto" w:val="clear"/>
                                </w:tcPr>
                                <w:p>
                                  <w:pPr>
                                    <w:pStyle w:val="Tabel"/>
                                    <w:rPr/>
                                  </w:pPr>
                                  <w:r>
                                    <w:rPr>
                                      <w:spacing w:val="-10"/>
                                    </w:rPr>
                                    <w:t>0.889 (</w:t>
                                  </w:r>
                                  <w:r>
                                    <w:rPr>
                                      <w:i/>
                                      <w:spacing w:val="-10"/>
                                    </w:rPr>
                                    <w:t xml:space="preserve">p </w:t>
                                  </w:r>
                                  <w:r>
                                    <w:rPr>
                                      <w:spacing w:val="-10"/>
                                    </w:rPr>
                                    <w:t>= 0.051)</w:t>
                                  </w:r>
                                </w:p>
                              </w:tc>
                              <w:tc>
                                <w:tcPr>
                                  <w:tcW w:w="850" w:type="dxa"/>
                                  <w:tcBorders/>
                                  <w:shd w:fill="auto" w:val="clear"/>
                                </w:tcPr>
                                <w:p>
                                  <w:pPr>
                                    <w:pStyle w:val="Tabel"/>
                                    <w:rPr/>
                                  </w:pPr>
                                  <w:r>
                                    <w:rPr/>
                                    <w:t>0.17</w:t>
                                  </w:r>
                                </w:p>
                              </w:tc>
                              <w:tc>
                                <w:tcPr>
                                  <w:tcW w:w="923" w:type="dxa"/>
                                  <w:tcBorders/>
                                  <w:shd w:fill="auto" w:val="clear"/>
                                </w:tcPr>
                                <w:p>
                                  <w:pPr>
                                    <w:pStyle w:val="Tabel"/>
                                    <w:rPr/>
                                  </w:pPr>
                                  <w:r>
                                    <w:rPr/>
                                    <w:t>0.08</w:t>
                                  </w:r>
                                </w:p>
                              </w:tc>
                              <w:tc>
                                <w:tcPr>
                                  <w:tcW w:w="924" w:type="dxa"/>
                                  <w:tcBorders/>
                                  <w:shd w:fill="auto" w:val="clear"/>
                                </w:tcPr>
                                <w:p>
                                  <w:pPr>
                                    <w:pStyle w:val="Tabel"/>
                                    <w:rPr/>
                                  </w:pPr>
                                  <w:r>
                                    <w:rPr/>
                                    <w:t>2.84</w:t>
                                  </w:r>
                                </w:p>
                              </w:tc>
                              <w:tc>
                                <w:tcPr>
                                  <w:tcW w:w="923" w:type="dxa"/>
                                  <w:tcBorders/>
                                  <w:shd w:fill="auto" w:val="clear"/>
                                </w:tcPr>
                                <w:p>
                                  <w:pPr>
                                    <w:pStyle w:val="Tabel"/>
                                    <w:rPr/>
                                  </w:pPr>
                                  <w:r>
                                    <w:rPr/>
                                    <w:t>3.53</w:t>
                                  </w:r>
                                </w:p>
                              </w:tc>
                              <w:tc>
                                <w:tcPr>
                                  <w:tcW w:w="800" w:type="dxa"/>
                                  <w:tcBorders/>
                                  <w:shd w:fill="auto" w:val="clear"/>
                                </w:tcPr>
                                <w:p>
                                  <w:pPr>
                                    <w:pStyle w:val="Tabel"/>
                                    <w:rPr/>
                                  </w:pPr>
                                  <w:r>
                                    <w:rPr/>
                                    <w:t>0.16</w:t>
                                  </w:r>
                                </w:p>
                              </w:tc>
                            </w:tr>
                            <w:tr>
                              <w:trPr/>
                              <w:tc>
                                <w:tcPr>
                                  <w:tcW w:w="1276" w:type="dxa"/>
                                  <w:tcBorders/>
                                  <w:shd w:fill="auto" w:val="clear"/>
                                </w:tcPr>
                                <w:p>
                                  <w:pPr>
                                    <w:pStyle w:val="Tabel"/>
                                    <w:jc w:val="left"/>
                                    <w:rPr/>
                                  </w:pPr>
                                  <w:r>
                                    <w:rPr>
                                      <w:spacing w:val="-10"/>
                                    </w:rPr>
                                    <w:t>OLVGab</w:t>
                                  </w:r>
                                </w:p>
                              </w:tc>
                              <w:tc>
                                <w:tcPr>
                                  <w:tcW w:w="851" w:type="dxa"/>
                                  <w:tcBorders/>
                                  <w:shd w:fill="auto" w:val="clear"/>
                                </w:tcPr>
                                <w:p>
                                  <w:pPr>
                                    <w:pStyle w:val="Tabel"/>
                                    <w:rPr/>
                                  </w:pPr>
                                  <w:r>
                                    <w:rPr/>
                                    <w:t>1500</w:t>
                                  </w:r>
                                </w:p>
                              </w:tc>
                              <w:tc>
                                <w:tcPr>
                                  <w:tcW w:w="738" w:type="dxa"/>
                                  <w:tcBorders/>
                                  <w:shd w:fill="auto" w:val="clear"/>
                                </w:tcPr>
                                <w:p>
                                  <w:pPr>
                                    <w:pStyle w:val="Tabel"/>
                                    <w:rPr/>
                                  </w:pPr>
                                  <w:r>
                                    <w:rPr/>
                                    <w:t>125</w:t>
                                  </w:r>
                                </w:p>
                              </w:tc>
                              <w:tc>
                                <w:tcPr>
                                  <w:tcW w:w="2097" w:type="dxa"/>
                                  <w:tcBorders/>
                                  <w:shd w:fill="auto" w:val="clear"/>
                                </w:tcPr>
                                <w:p>
                                  <w:pPr>
                                    <w:pStyle w:val="Tabel"/>
                                    <w:rPr/>
                                  </w:pPr>
                                  <w:r>
                                    <w:rPr>
                                      <w:spacing w:val="-10"/>
                                    </w:rPr>
                                    <w:t>0.875 (</w:t>
                                  </w:r>
                                  <w:r>
                                    <w:rPr>
                                      <w:i/>
                                      <w:spacing w:val="-10"/>
                                    </w:rPr>
                                    <w:t xml:space="preserve">p </w:t>
                                  </w:r>
                                  <w:r>
                                    <w:rPr>
                                      <w:spacing w:val="-10"/>
                                    </w:rPr>
                                    <w:t>= 0.059)</w:t>
                                  </w:r>
                                </w:p>
                              </w:tc>
                              <w:tc>
                                <w:tcPr>
                                  <w:tcW w:w="850" w:type="dxa"/>
                                  <w:tcBorders/>
                                  <w:shd w:fill="auto" w:val="clear"/>
                                </w:tcPr>
                                <w:p>
                                  <w:pPr>
                                    <w:pStyle w:val="Tabel"/>
                                    <w:rPr/>
                                  </w:pPr>
                                  <w:r>
                                    <w:rPr/>
                                    <w:t>0.17</w:t>
                                  </w:r>
                                </w:p>
                              </w:tc>
                              <w:tc>
                                <w:tcPr>
                                  <w:tcW w:w="923" w:type="dxa"/>
                                  <w:tcBorders/>
                                  <w:shd w:fill="auto" w:val="clear"/>
                                </w:tcPr>
                                <w:p>
                                  <w:pPr>
                                    <w:pStyle w:val="Tabel"/>
                                    <w:rPr/>
                                  </w:pPr>
                                  <w:r>
                                    <w:rPr/>
                                    <w:t>0.22</w:t>
                                  </w:r>
                                </w:p>
                              </w:tc>
                              <w:tc>
                                <w:tcPr>
                                  <w:tcW w:w="924" w:type="dxa"/>
                                  <w:tcBorders/>
                                  <w:shd w:fill="auto" w:val="clear"/>
                                </w:tcPr>
                                <w:p>
                                  <w:pPr>
                                    <w:pStyle w:val="Tabel"/>
                                    <w:rPr/>
                                  </w:pPr>
                                  <w:r>
                                    <w:rPr/>
                                    <w:t>2.42</w:t>
                                  </w:r>
                                </w:p>
                              </w:tc>
                              <w:tc>
                                <w:tcPr>
                                  <w:tcW w:w="923" w:type="dxa"/>
                                  <w:tcBorders/>
                                  <w:shd w:fill="auto" w:val="clear"/>
                                </w:tcPr>
                                <w:p>
                                  <w:pPr>
                                    <w:pStyle w:val="Tabel"/>
                                    <w:rPr/>
                                  </w:pPr>
                                  <w:r>
                                    <w:rPr/>
                                    <w:t>4.00</w:t>
                                  </w:r>
                                </w:p>
                              </w:tc>
                              <w:tc>
                                <w:tcPr>
                                  <w:tcW w:w="800" w:type="dxa"/>
                                  <w:tcBorders/>
                                  <w:shd w:fill="auto" w:val="clear"/>
                                </w:tcPr>
                                <w:p>
                                  <w:pPr>
                                    <w:pStyle w:val="Tabel"/>
                                    <w:rPr/>
                                  </w:pPr>
                                  <w:r>
                                    <w:rPr/>
                                    <w:t>-0.01</w:t>
                                  </w:r>
                                </w:p>
                              </w:tc>
                            </w:tr>
                            <w:tr>
                              <w:trPr/>
                              <w:tc>
                                <w:tcPr>
                                  <w:tcW w:w="1276" w:type="dxa"/>
                                  <w:tcBorders/>
                                  <w:shd w:fill="auto" w:val="clear"/>
                                </w:tcPr>
                                <w:p>
                                  <w:pPr>
                                    <w:pStyle w:val="Tabel"/>
                                    <w:jc w:val="left"/>
                                    <w:rPr>
                                      <w:spacing w:val="-10"/>
                                    </w:rPr>
                                  </w:pPr>
                                  <w:r>
                                    <w:rPr>
                                      <w:spacing w:val="-10"/>
                                    </w:rPr>
                                    <w:t>SKZbe</w:t>
                                  </w:r>
                                </w:p>
                              </w:tc>
                              <w:tc>
                                <w:tcPr>
                                  <w:tcW w:w="851" w:type="dxa"/>
                                  <w:tcBorders/>
                                  <w:shd w:fill="auto" w:val="clear"/>
                                </w:tcPr>
                                <w:p>
                                  <w:pPr>
                                    <w:pStyle w:val="Tabel"/>
                                    <w:rPr/>
                                  </w:pPr>
                                  <w:r>
                                    <w:rPr/>
                                    <w:t>1500</w:t>
                                  </w:r>
                                </w:p>
                              </w:tc>
                              <w:tc>
                                <w:tcPr>
                                  <w:tcW w:w="738" w:type="dxa"/>
                                  <w:tcBorders/>
                                  <w:shd w:fill="auto" w:val="clear"/>
                                </w:tcPr>
                                <w:p>
                                  <w:pPr>
                                    <w:pStyle w:val="Tabel"/>
                                    <w:rPr/>
                                  </w:pPr>
                                  <w:r>
                                    <w:rPr/>
                                    <w:t>139</w:t>
                                  </w:r>
                                </w:p>
                              </w:tc>
                              <w:tc>
                                <w:tcPr>
                                  <w:tcW w:w="2097" w:type="dxa"/>
                                  <w:tcBorders/>
                                  <w:shd w:fill="auto" w:val="clear"/>
                                </w:tcPr>
                                <w:p>
                                  <w:pPr>
                                    <w:pStyle w:val="Tabel"/>
                                    <w:rPr/>
                                  </w:pPr>
                                  <w:r>
                                    <w:rPr>
                                      <w:spacing w:val="-10"/>
                                    </w:rPr>
                                    <w:t>0.890 (</w:t>
                                  </w:r>
                                  <w:r>
                                    <w:rPr>
                                      <w:i/>
                                      <w:spacing w:val="-10"/>
                                    </w:rPr>
                                    <w:t xml:space="preserve">p </w:t>
                                  </w:r>
                                  <w:r>
                                    <w:rPr>
                                      <w:spacing w:val="-10"/>
                                    </w:rPr>
                                    <w:t>= 0.051)</w:t>
                                  </w:r>
                                </w:p>
                              </w:tc>
                              <w:tc>
                                <w:tcPr>
                                  <w:tcW w:w="850" w:type="dxa"/>
                                  <w:tcBorders/>
                                  <w:shd w:fill="auto" w:val="clear"/>
                                </w:tcPr>
                                <w:p>
                                  <w:pPr>
                                    <w:pStyle w:val="Tabel"/>
                                    <w:rPr/>
                                  </w:pPr>
                                  <w:r>
                                    <w:rPr/>
                                    <w:t>-4.35</w:t>
                                  </w:r>
                                </w:p>
                              </w:tc>
                              <w:tc>
                                <w:tcPr>
                                  <w:tcW w:w="923" w:type="dxa"/>
                                  <w:tcBorders/>
                                  <w:shd w:fill="auto" w:val="clear"/>
                                </w:tcPr>
                                <w:p>
                                  <w:pPr>
                                    <w:pStyle w:val="Tabel"/>
                                    <w:rPr/>
                                  </w:pPr>
                                  <w:r>
                                    <w:rPr/>
                                    <w:t>-0.34</w:t>
                                  </w:r>
                                </w:p>
                              </w:tc>
                              <w:tc>
                                <w:tcPr>
                                  <w:tcW w:w="924" w:type="dxa"/>
                                  <w:tcBorders/>
                                  <w:shd w:fill="auto" w:val="clear"/>
                                </w:tcPr>
                                <w:p>
                                  <w:pPr>
                                    <w:pStyle w:val="Tabel"/>
                                    <w:rPr/>
                                  </w:pPr>
                                  <w:r>
                                    <w:rPr/>
                                    <w:t>3.51</w:t>
                                  </w:r>
                                </w:p>
                              </w:tc>
                              <w:tc>
                                <w:tcPr>
                                  <w:tcW w:w="923" w:type="dxa"/>
                                  <w:tcBorders/>
                                  <w:shd w:fill="auto" w:val="clear"/>
                                </w:tcPr>
                                <w:p>
                                  <w:pPr>
                                    <w:pStyle w:val="Tabel"/>
                                    <w:rPr/>
                                  </w:pPr>
                                  <w:r>
                                    <w:rPr/>
                                    <w:t>2.94</w:t>
                                  </w:r>
                                </w:p>
                              </w:tc>
                              <w:tc>
                                <w:tcPr>
                                  <w:tcW w:w="800" w:type="dxa"/>
                                  <w:tcBorders/>
                                  <w:shd w:fill="auto" w:val="clear"/>
                                </w:tcPr>
                                <w:p>
                                  <w:pPr>
                                    <w:pStyle w:val="Tabel"/>
                                    <w:rPr/>
                                  </w:pPr>
                                  <w:r>
                                    <w:rPr/>
                                    <w:t>-0.63</w:t>
                                  </w:r>
                                </w:p>
                              </w:tc>
                            </w:tr>
                            <w:tr>
                              <w:trPr/>
                              <w:tc>
                                <w:tcPr>
                                  <w:tcW w:w="1276" w:type="dxa"/>
                                  <w:tcBorders/>
                                  <w:shd w:fill="auto" w:val="clear"/>
                                </w:tcPr>
                                <w:p>
                                  <w:pPr>
                                    <w:pStyle w:val="Tabel"/>
                                    <w:jc w:val="left"/>
                                    <w:rPr>
                                      <w:spacing w:val="-10"/>
                                    </w:rPr>
                                  </w:pPr>
                                  <w:r>
                                    <w:rPr>
                                      <w:spacing w:val="-10"/>
                                    </w:rPr>
                                    <w:t>ELIbe</w:t>
                                  </w:r>
                                </w:p>
                              </w:tc>
                              <w:tc>
                                <w:tcPr>
                                  <w:tcW w:w="851" w:type="dxa"/>
                                  <w:tcBorders/>
                                  <w:shd w:fill="auto" w:val="clear"/>
                                </w:tcPr>
                                <w:p>
                                  <w:pPr>
                                    <w:pStyle w:val="Tabel"/>
                                    <w:rPr/>
                                  </w:pPr>
                                  <w:r>
                                    <w:rPr/>
                                    <w:t>1500</w:t>
                                  </w:r>
                                </w:p>
                              </w:tc>
                              <w:tc>
                                <w:tcPr>
                                  <w:tcW w:w="738" w:type="dxa"/>
                                  <w:tcBorders/>
                                  <w:shd w:fill="auto" w:val="clear"/>
                                </w:tcPr>
                                <w:p>
                                  <w:pPr>
                                    <w:pStyle w:val="Tabel"/>
                                    <w:rPr/>
                                  </w:pPr>
                                  <w:r>
                                    <w:rPr/>
                                    <w:t>382</w:t>
                                  </w:r>
                                </w:p>
                              </w:tc>
                              <w:tc>
                                <w:tcPr>
                                  <w:tcW w:w="2097" w:type="dxa"/>
                                  <w:tcBorders/>
                                  <w:shd w:fill="auto" w:val="clear"/>
                                </w:tcPr>
                                <w:p>
                                  <w:pPr>
                                    <w:pStyle w:val="Tabel"/>
                                    <w:rPr/>
                                  </w:pPr>
                                  <w:r>
                                    <w:rPr>
                                      <w:spacing w:val="-10"/>
                                    </w:rPr>
                                    <w:t>0.855 (</w:t>
                                  </w:r>
                                  <w:r>
                                    <w:rPr>
                                      <w:i/>
                                      <w:spacing w:val="-10"/>
                                    </w:rPr>
                                    <w:t xml:space="preserve">p </w:t>
                                  </w:r>
                                  <w:r>
                                    <w:rPr>
                                      <w:spacing w:val="-10"/>
                                    </w:rPr>
                                    <w:t>= 0.072)</w:t>
                                  </w:r>
                                </w:p>
                              </w:tc>
                              <w:tc>
                                <w:tcPr>
                                  <w:tcW w:w="850" w:type="dxa"/>
                                  <w:tcBorders/>
                                  <w:shd w:fill="auto" w:val="clear"/>
                                </w:tcPr>
                                <w:p>
                                  <w:pPr>
                                    <w:pStyle w:val="Tabel"/>
                                    <w:rPr/>
                                  </w:pPr>
                                  <w:r>
                                    <w:rPr/>
                                    <w:t>0.53</w:t>
                                  </w:r>
                                </w:p>
                              </w:tc>
                              <w:tc>
                                <w:tcPr>
                                  <w:tcW w:w="923" w:type="dxa"/>
                                  <w:tcBorders/>
                                  <w:shd w:fill="auto" w:val="clear"/>
                                </w:tcPr>
                                <w:p>
                                  <w:pPr>
                                    <w:pStyle w:val="Tabel"/>
                                    <w:rPr/>
                                  </w:pPr>
                                  <w:r>
                                    <w:rPr/>
                                    <w:t>-0.20</w:t>
                                  </w:r>
                                </w:p>
                              </w:tc>
                              <w:tc>
                                <w:tcPr>
                                  <w:tcW w:w="924" w:type="dxa"/>
                                  <w:tcBorders/>
                                  <w:shd w:fill="auto" w:val="clear"/>
                                </w:tcPr>
                                <w:p>
                                  <w:pPr>
                                    <w:pStyle w:val="Tabel"/>
                                    <w:rPr/>
                                  </w:pPr>
                                  <w:r>
                                    <w:rPr/>
                                    <w:t>3.40</w:t>
                                  </w:r>
                                </w:p>
                              </w:tc>
                              <w:tc>
                                <w:tcPr>
                                  <w:tcW w:w="923" w:type="dxa"/>
                                  <w:tcBorders/>
                                  <w:shd w:fill="auto" w:val="clear"/>
                                </w:tcPr>
                                <w:p>
                                  <w:pPr>
                                    <w:pStyle w:val="Tabel"/>
                                    <w:rPr/>
                                  </w:pPr>
                                  <w:r>
                                    <w:rPr/>
                                    <w:t>3.39</w:t>
                                  </w:r>
                                </w:p>
                              </w:tc>
                              <w:tc>
                                <w:tcPr>
                                  <w:tcW w:w="800" w:type="dxa"/>
                                  <w:tcBorders/>
                                  <w:shd w:fill="auto" w:val="clear"/>
                                </w:tcPr>
                                <w:p>
                                  <w:pPr>
                                    <w:pStyle w:val="Tabel"/>
                                    <w:rPr/>
                                  </w:pPr>
                                  <w:r>
                                    <w:rPr/>
                                    <w:t>0.27</w:t>
                                  </w:r>
                                </w:p>
                              </w:tc>
                            </w:tr>
                            <w:tr>
                              <w:trPr/>
                              <w:tc>
                                <w:tcPr>
                                  <w:tcW w:w="1276" w:type="dxa"/>
                                  <w:tcBorders>
                                    <w:bottom w:val="single" w:sz="6" w:space="0" w:color="000000"/>
                                    <w:insideH w:val="single" w:sz="6" w:space="0" w:color="000000"/>
                                  </w:tcBorders>
                                  <w:shd w:fill="auto" w:val="clear"/>
                                </w:tcPr>
                                <w:p>
                                  <w:pPr>
                                    <w:pStyle w:val="Tabel"/>
                                    <w:jc w:val="left"/>
                                    <w:rPr>
                                      <w:spacing w:val="-10"/>
                                    </w:rPr>
                                  </w:pPr>
                                  <w:r>
                                    <w:rPr>
                                      <w:spacing w:val="-10"/>
                                    </w:rPr>
                                    <w:t>ELIab</w:t>
                                  </w:r>
                                </w:p>
                              </w:tc>
                              <w:tc>
                                <w:tcPr>
                                  <w:tcW w:w="851" w:type="dxa"/>
                                  <w:tcBorders>
                                    <w:bottom w:val="single" w:sz="6" w:space="0" w:color="000000"/>
                                    <w:insideH w:val="single" w:sz="6" w:space="0" w:color="000000"/>
                                  </w:tcBorders>
                                  <w:shd w:fill="auto" w:val="clear"/>
                                </w:tcPr>
                                <w:p>
                                  <w:pPr>
                                    <w:pStyle w:val="Tabel"/>
                                    <w:rPr/>
                                  </w:pPr>
                                  <w:r>
                                    <w:rPr/>
                                    <w:t>1500</w:t>
                                  </w:r>
                                </w:p>
                              </w:tc>
                              <w:tc>
                                <w:tcPr>
                                  <w:tcW w:w="738" w:type="dxa"/>
                                  <w:tcBorders>
                                    <w:bottom w:val="single" w:sz="6" w:space="0" w:color="000000"/>
                                    <w:insideH w:val="single" w:sz="6" w:space="0" w:color="000000"/>
                                  </w:tcBorders>
                                  <w:shd w:fill="auto" w:val="clear"/>
                                </w:tcPr>
                                <w:p>
                                  <w:pPr>
                                    <w:pStyle w:val="Tabel"/>
                                    <w:rPr/>
                                  </w:pPr>
                                  <w:r>
                                    <w:rPr/>
                                    <w:t>307</w:t>
                                  </w:r>
                                </w:p>
                              </w:tc>
                              <w:tc>
                                <w:tcPr>
                                  <w:tcW w:w="2097" w:type="dxa"/>
                                  <w:tcBorders>
                                    <w:bottom w:val="single" w:sz="6" w:space="0" w:color="000000"/>
                                    <w:insideH w:val="single" w:sz="6" w:space="0" w:color="000000"/>
                                  </w:tcBorders>
                                  <w:shd w:fill="auto" w:val="clear"/>
                                </w:tcPr>
                                <w:p>
                                  <w:pPr>
                                    <w:pStyle w:val="Tabel"/>
                                    <w:rPr/>
                                  </w:pPr>
                                  <w:r>
                                    <w:rPr>
                                      <w:spacing w:val="-10"/>
                                    </w:rPr>
                                    <w:t>0.882 (</w:t>
                                  </w:r>
                                  <w:r>
                                    <w:rPr>
                                      <w:i/>
                                      <w:spacing w:val="-10"/>
                                    </w:rPr>
                                    <w:t xml:space="preserve">p </w:t>
                                  </w:r>
                                  <w:r>
                                    <w:rPr>
                                      <w:spacing w:val="-10"/>
                                    </w:rPr>
                                    <w:t>= 0.055)</w:t>
                                  </w:r>
                                </w:p>
                              </w:tc>
                              <w:tc>
                                <w:tcPr>
                                  <w:tcW w:w="850" w:type="dxa"/>
                                  <w:tcBorders>
                                    <w:bottom w:val="single" w:sz="6" w:space="0" w:color="000000"/>
                                    <w:insideH w:val="single" w:sz="6" w:space="0" w:color="000000"/>
                                  </w:tcBorders>
                                  <w:shd w:fill="auto" w:val="clear"/>
                                </w:tcPr>
                                <w:p>
                                  <w:pPr>
                                    <w:pStyle w:val="Tabel"/>
                                    <w:rPr/>
                                  </w:pPr>
                                  <w:r>
                                    <w:rPr/>
                                    <w:t>0.31</w:t>
                                  </w:r>
                                </w:p>
                              </w:tc>
                              <w:tc>
                                <w:tcPr>
                                  <w:tcW w:w="923" w:type="dxa"/>
                                  <w:tcBorders>
                                    <w:bottom w:val="single" w:sz="6" w:space="0" w:color="000000"/>
                                    <w:insideH w:val="single" w:sz="6" w:space="0" w:color="000000"/>
                                  </w:tcBorders>
                                  <w:shd w:fill="auto" w:val="clear"/>
                                </w:tcPr>
                                <w:p>
                                  <w:pPr>
                                    <w:pStyle w:val="Tabel"/>
                                    <w:rPr/>
                                  </w:pPr>
                                  <w:r>
                                    <w:rPr/>
                                    <w:t>-0.15</w:t>
                                  </w:r>
                                </w:p>
                              </w:tc>
                              <w:tc>
                                <w:tcPr>
                                  <w:tcW w:w="924" w:type="dxa"/>
                                  <w:tcBorders>
                                    <w:bottom w:val="single" w:sz="6" w:space="0" w:color="000000"/>
                                    <w:insideH w:val="single" w:sz="6" w:space="0" w:color="000000"/>
                                  </w:tcBorders>
                                  <w:shd w:fill="auto" w:val="clear"/>
                                </w:tcPr>
                                <w:p>
                                  <w:pPr>
                                    <w:pStyle w:val="Tabel"/>
                                    <w:rPr/>
                                  </w:pPr>
                                  <w:r>
                                    <w:rPr/>
                                    <w:t>3.16</w:t>
                                  </w:r>
                                </w:p>
                              </w:tc>
                              <w:tc>
                                <w:tcPr>
                                  <w:tcW w:w="923" w:type="dxa"/>
                                  <w:tcBorders>
                                    <w:bottom w:val="single" w:sz="6" w:space="0" w:color="000000"/>
                                    <w:insideH w:val="single" w:sz="6" w:space="0" w:color="000000"/>
                                  </w:tcBorders>
                                  <w:shd w:fill="auto" w:val="clear"/>
                                </w:tcPr>
                                <w:p>
                                  <w:pPr>
                                    <w:pStyle w:val="Tabel"/>
                                    <w:rPr/>
                                  </w:pPr>
                                  <w:r>
                                    <w:rPr/>
                                    <w:t>3.63</w:t>
                                  </w:r>
                                </w:p>
                              </w:tc>
                              <w:tc>
                                <w:tcPr>
                                  <w:tcW w:w="800" w:type="dxa"/>
                                  <w:tcBorders>
                                    <w:bottom w:val="single" w:sz="6" w:space="0" w:color="000000"/>
                                    <w:insideH w:val="single" w:sz="6" w:space="0" w:color="000000"/>
                                  </w:tcBorders>
                                  <w:shd w:fill="auto" w:val="clear"/>
                                </w:tcPr>
                                <w:p>
                                  <w:pPr>
                                    <w:pStyle w:val="Tabel"/>
                                    <w:rPr/>
                                  </w:pPr>
                                  <w:r>
                                    <w:rPr/>
                                    <w:t>0.18</w:t>
                                  </w:r>
                                </w:p>
                              </w:tc>
                            </w:tr>
                          </w:tbl>
                          <w:p>
                            <w:pPr>
                              <w:pStyle w:val="Tabel"/>
                              <w:rPr/>
                            </w:pPr>
                            <w:r>
                              <w:rPr/>
                            </w:r>
                          </w:p>
                        </w:txbxContent>
                      </wps:txbx>
                      <wps:bodyPr anchor="t" lIns="0" tIns="0" rIns="0" bIns="0">
                        <a:noAutofit/>
                      </wps:bodyPr>
                    </wps:wsp>
                  </a:graphicData>
                </a:graphic>
              </wp:anchor>
            </w:drawing>
          </mc:Choice>
          <mc:Fallback>
            <w:pict>
              <v:rect fillcolor="#FFFFFF" style="position:absolute;rotation:0;width:469.1pt;height:393.25pt;mso-wrap-distance-left:9.05pt;mso-wrap-distance-right:9.05pt;mso-wrap-distance-top:0pt;mso-wrap-distance-bottom:9.05pt;margin-top:0pt;mso-position-vertical:top;mso-position-vertical-relative:margin;margin-left:-0.7pt;mso-position-horizontal:center;mso-position-horizontal-relative:margin">
                <v:fill opacity="0f"/>
                <v:textbox>
                  <w:txbxContent>
                    <w:p>
                      <w:pPr>
                        <w:pStyle w:val="Tabelbeschrijving"/>
                        <w:rPr/>
                      </w:pPr>
                      <w:bookmarkStart w:id="59" w:name="_Ref403896597"/>
                      <w:r>
                        <w:rPr>
                          <w:rStyle w:val="Buffer"/>
                          <w:lang w:val="en-US"/>
                        </w:rPr>
                        <w:t>T</w:t>
                      </w:r>
                      <w:r>
                        <w:rPr>
                          <w:lang w:val="en-US"/>
                        </w:rPr>
                        <w:t xml:space="preserve">able </w:t>
                      </w:r>
                      <w:r>
                        <w:fldChar w:fldCharType="begin"/>
                      </w:r>
                      <w:r>
                        <w:rPr/>
                        <w:instrText> STYLEREF 1 \s </w:instrText>
                      </w:r>
                      <w:r>
                        <w:rPr/>
                        <w:fldChar w:fldCharType="separate"/>
                      </w:r>
                      <w:bookmarkStart w:id="60" w:name="__Fieldmark__30_4042815248"/>
                      <w:r>
                        <w:rPr>
                          <w:lang w:val="en-US"/>
                        </w:rPr>
                        <w:t>4</w:t>
                      </w:r>
                      <w:r>
                        <w:rPr>
                          <w:lang w:val="en-US"/>
                        </w:rPr>
                      </w:r>
                      <w:r>
                        <w:rPr/>
                        <w:fldChar w:fldCharType="end"/>
                      </w:r>
                      <w:bookmarkEnd w:id="60"/>
                      <w:r>
                        <w:rPr>
                          <w:lang w:val="en-US"/>
                        </w:rPr>
                        <w:t>–</w:t>
                      </w:r>
                      <w:r>
                        <w:rPr>
                          <w:lang w:val="en-US"/>
                        </w:rPr>
                        <w:fldChar w:fldCharType="begin"/>
                      </w:r>
                      <w:r>
                        <w:rPr/>
                        <w:instrText> SEQ Table \* ARABIC </w:instrText>
                      </w:r>
                      <w:r>
                        <w:rPr/>
                        <w:fldChar w:fldCharType="separate"/>
                      </w:r>
                      <w:r>
                        <w:rPr/>
                        <w:t>1</w:t>
                      </w:r>
                      <w:r>
                        <w:rPr/>
                        <w:fldChar w:fldCharType="end"/>
                      </w:r>
                      <w:bookmarkEnd w:id="59"/>
                      <w:r>
                        <w:rPr/>
                        <w:t>. Distribution characteristics (m is mean, s is standard deviation and r is Pearson’s product correlation coefficient between PC1' and PC2') after trimming.</w:t>
                      </w:r>
                    </w:p>
                    <w:tbl>
                      <w:tblPr>
                        <w:tblW w:w="9382"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Pr>
                      <w:tblGrid>
                        <w:gridCol w:w="1276"/>
                        <w:gridCol w:w="851"/>
                        <w:gridCol w:w="738"/>
                        <w:gridCol w:w="2097"/>
                        <w:gridCol w:w="850"/>
                        <w:gridCol w:w="923"/>
                        <w:gridCol w:w="924"/>
                        <w:gridCol w:w="923"/>
                        <w:gridCol w:w="800"/>
                      </w:tblGrid>
                      <w:tr>
                        <w:trPr>
                          <w:tblHeader w:val="true"/>
                        </w:trPr>
                        <w:tc>
                          <w:tcPr>
                            <w:tcW w:w="1276" w:type="dxa"/>
                            <w:tcBorders>
                              <w:top w:val="single" w:sz="6" w:space="0" w:color="000000"/>
                              <w:bottom w:val="single" w:sz="6" w:space="0" w:color="000000"/>
                              <w:insideH w:val="single" w:sz="6" w:space="0" w:color="000000"/>
                            </w:tcBorders>
                            <w:shd w:fill="auto" w:val="clear"/>
                          </w:tcPr>
                          <w:p>
                            <w:pPr>
                              <w:pStyle w:val="Tabel"/>
                              <w:jc w:val="left"/>
                              <w:rPr/>
                            </w:pPr>
                            <w:r>
                              <w:rPr>
                                <w:rStyle w:val="Buffer"/>
                              </w:rPr>
                              <w:t>data set</w:t>
                            </w:r>
                          </w:p>
                        </w:tc>
                        <w:tc>
                          <w:tcPr>
                            <w:tcW w:w="851" w:type="dxa"/>
                            <w:tcBorders>
                              <w:top w:val="single" w:sz="6" w:space="0" w:color="000000"/>
                              <w:bottom w:val="single" w:sz="6" w:space="0" w:color="000000"/>
                              <w:insideH w:val="single" w:sz="6" w:space="0" w:color="000000"/>
                            </w:tcBorders>
                            <w:shd w:fill="auto" w:val="clear"/>
                          </w:tcPr>
                          <w:p>
                            <w:pPr>
                              <w:pStyle w:val="Tabel"/>
                              <w:rPr/>
                            </w:pPr>
                            <w:r>
                              <w:rPr>
                                <w:i/>
                              </w:rPr>
                              <w:t>N</w:t>
                              <w:br/>
                            </w:r>
                            <w:r>
                              <w:rPr/>
                              <w:t>total</w:t>
                            </w:r>
                          </w:p>
                        </w:tc>
                        <w:tc>
                          <w:tcPr>
                            <w:tcW w:w="738" w:type="dxa"/>
                            <w:tcBorders>
                              <w:top w:val="single" w:sz="6" w:space="0" w:color="000000"/>
                              <w:bottom w:val="single" w:sz="6" w:space="0" w:color="000000"/>
                              <w:insideH w:val="single" w:sz="6" w:space="0" w:color="000000"/>
                            </w:tcBorders>
                            <w:shd w:fill="auto" w:val="clear"/>
                          </w:tcPr>
                          <w:p>
                            <w:pPr>
                              <w:pStyle w:val="Tabel"/>
                              <w:rPr>
                                <w:spacing w:val="-6"/>
                              </w:rPr>
                            </w:pPr>
                            <w:r>
                              <w:rPr>
                                <w:spacing w:val="-6"/>
                              </w:rPr>
                              <w:t xml:space="preserve">trimmed </w:t>
                            </w:r>
                          </w:p>
                        </w:tc>
                        <w:tc>
                          <w:tcPr>
                            <w:tcW w:w="2097" w:type="dxa"/>
                            <w:tcBorders>
                              <w:top w:val="single" w:sz="6" w:space="0" w:color="000000"/>
                              <w:bottom w:val="single" w:sz="6" w:space="0" w:color="000000"/>
                              <w:insideH w:val="single" w:sz="6" w:space="0" w:color="000000"/>
                            </w:tcBorders>
                            <w:shd w:fill="auto" w:val="clear"/>
                          </w:tcPr>
                          <w:p>
                            <w:pPr>
                              <w:pStyle w:val="Tabel"/>
                              <w:rPr/>
                            </w:pPr>
                            <w:r>
                              <w:rPr/>
                              <w:t>*D</w:t>
                            </w:r>
                            <w:r>
                              <w:rPr>
                                <w:vertAlign w:val="subscript"/>
                              </w:rPr>
                              <w:t>max</w:t>
                            </w:r>
                          </w:p>
                        </w:tc>
                        <w:tc>
                          <w:tcPr>
                            <w:tcW w:w="850" w:type="dxa"/>
                            <w:tcBorders>
                              <w:top w:val="single" w:sz="6" w:space="0" w:color="000000"/>
                              <w:bottom w:val="single" w:sz="6" w:space="0" w:color="000000"/>
                              <w:insideH w:val="single" w:sz="6" w:space="0" w:color="000000"/>
                            </w:tcBorders>
                            <w:shd w:fill="auto" w:val="clear"/>
                          </w:tcPr>
                          <w:p>
                            <w:pPr>
                              <w:pStyle w:val="Tabel"/>
                              <w:rPr/>
                            </w:pPr>
                            <w:r>
                              <w:rPr>
                                <w:i/>
                              </w:rPr>
                              <w:t>m</w:t>
                            </w:r>
                            <w:r>
                              <w:rPr/>
                              <w:t xml:space="preserve"> PC1'</w:t>
                            </w:r>
                          </w:p>
                        </w:tc>
                        <w:tc>
                          <w:tcPr>
                            <w:tcW w:w="923" w:type="dxa"/>
                            <w:tcBorders>
                              <w:top w:val="single" w:sz="6" w:space="0" w:color="000000"/>
                              <w:bottom w:val="single" w:sz="6" w:space="0" w:color="000000"/>
                              <w:insideH w:val="single" w:sz="6" w:space="0" w:color="000000"/>
                            </w:tcBorders>
                            <w:shd w:fill="auto" w:val="clear"/>
                          </w:tcPr>
                          <w:p>
                            <w:pPr>
                              <w:pStyle w:val="Tabel"/>
                              <w:rPr/>
                            </w:pPr>
                            <w:r>
                              <w:rPr>
                                <w:i/>
                              </w:rPr>
                              <w:t>m</w:t>
                            </w:r>
                            <w:r>
                              <w:rPr/>
                              <w:t xml:space="preserve"> PC2'</w:t>
                            </w:r>
                          </w:p>
                        </w:tc>
                        <w:tc>
                          <w:tcPr>
                            <w:tcW w:w="924" w:type="dxa"/>
                            <w:tcBorders>
                              <w:top w:val="single" w:sz="6" w:space="0" w:color="000000"/>
                              <w:bottom w:val="single" w:sz="6" w:space="0" w:color="000000"/>
                              <w:insideH w:val="single" w:sz="6" w:space="0" w:color="000000"/>
                            </w:tcBorders>
                            <w:shd w:fill="auto" w:val="clear"/>
                          </w:tcPr>
                          <w:p>
                            <w:pPr>
                              <w:pStyle w:val="Tabel"/>
                              <w:rPr/>
                            </w:pPr>
                            <w:r>
                              <w:rPr>
                                <w:i/>
                              </w:rPr>
                              <w:t>s</w:t>
                              <w:br/>
                            </w:r>
                            <w:r>
                              <w:rPr/>
                              <w:t xml:space="preserve"> PC1'</w:t>
                            </w:r>
                          </w:p>
                        </w:tc>
                        <w:tc>
                          <w:tcPr>
                            <w:tcW w:w="923" w:type="dxa"/>
                            <w:tcBorders>
                              <w:top w:val="single" w:sz="6" w:space="0" w:color="000000"/>
                              <w:bottom w:val="single" w:sz="6" w:space="0" w:color="000000"/>
                              <w:insideH w:val="single" w:sz="6" w:space="0" w:color="000000"/>
                            </w:tcBorders>
                            <w:shd w:fill="auto" w:val="clear"/>
                          </w:tcPr>
                          <w:p>
                            <w:pPr>
                              <w:pStyle w:val="Tabel"/>
                              <w:rPr/>
                            </w:pPr>
                            <w:r>
                              <w:rPr>
                                <w:i/>
                              </w:rPr>
                              <w:t>s</w:t>
                              <w:br/>
                            </w:r>
                            <w:r>
                              <w:rPr/>
                              <w:t xml:space="preserve"> PC2'</w:t>
                            </w:r>
                          </w:p>
                        </w:tc>
                        <w:tc>
                          <w:tcPr>
                            <w:tcW w:w="800" w:type="dxa"/>
                            <w:tcBorders>
                              <w:top w:val="single" w:sz="6" w:space="0" w:color="000000"/>
                              <w:bottom w:val="single" w:sz="6" w:space="0" w:color="000000"/>
                              <w:insideH w:val="single" w:sz="6" w:space="0" w:color="000000"/>
                            </w:tcBorders>
                            <w:shd w:fill="auto" w:val="clear"/>
                          </w:tcPr>
                          <w:p>
                            <w:pPr>
                              <w:pStyle w:val="Tabel"/>
                              <w:rPr>
                                <w:i/>
                                <w:i/>
                              </w:rPr>
                            </w:pPr>
                            <w:r>
                              <w:rPr>
                                <w:i/>
                              </w:rPr>
                              <w:t>r</w:t>
                            </w:r>
                          </w:p>
                        </w:tc>
                      </w:tr>
                      <w:tr>
                        <w:trPr/>
                        <w:tc>
                          <w:tcPr>
                            <w:tcW w:w="1276" w:type="dxa"/>
                            <w:tcBorders/>
                            <w:shd w:fill="auto" w:val="clear"/>
                          </w:tcPr>
                          <w:p>
                            <w:pPr>
                              <w:pStyle w:val="Tabel"/>
                              <w:jc w:val="left"/>
                              <w:rPr/>
                            </w:pPr>
                            <w:r>
                              <w:rPr>
                                <w:rStyle w:val="Buffer"/>
                                <w:spacing w:val="-10"/>
                              </w:rPr>
                              <w:t>A</w:t>
                            </w:r>
                            <w:r>
                              <w:rPr>
                                <w:spacing w:val="-10"/>
                              </w:rPr>
                              <w:t>ZRbe</w:t>
                            </w:r>
                          </w:p>
                        </w:tc>
                        <w:tc>
                          <w:tcPr>
                            <w:tcW w:w="851" w:type="dxa"/>
                            <w:tcBorders/>
                            <w:shd w:fill="auto" w:val="clear"/>
                          </w:tcPr>
                          <w:p>
                            <w:pPr>
                              <w:pStyle w:val="Tabel"/>
                              <w:rPr/>
                            </w:pPr>
                            <w:r>
                              <w:rPr/>
                              <w:t>1500</w:t>
                            </w:r>
                          </w:p>
                        </w:tc>
                        <w:tc>
                          <w:tcPr>
                            <w:tcW w:w="738" w:type="dxa"/>
                            <w:tcBorders/>
                            <w:shd w:fill="auto" w:val="clear"/>
                          </w:tcPr>
                          <w:p>
                            <w:pPr>
                              <w:pStyle w:val="Tabel"/>
                              <w:rPr/>
                            </w:pPr>
                            <w:r>
                              <w:rPr/>
                              <w:t>264</w:t>
                            </w:r>
                          </w:p>
                        </w:tc>
                        <w:tc>
                          <w:tcPr>
                            <w:tcW w:w="2097" w:type="dxa"/>
                            <w:tcBorders/>
                            <w:shd w:fill="auto" w:val="clear"/>
                          </w:tcPr>
                          <w:p>
                            <w:pPr>
                              <w:pStyle w:val="Tabel"/>
                              <w:rPr/>
                            </w:pPr>
                            <w:r>
                              <w:rPr>
                                <w:spacing w:val="-10"/>
                              </w:rPr>
                              <w:t>0.891 (</w:t>
                            </w:r>
                            <w:r>
                              <w:rPr>
                                <w:i/>
                                <w:spacing w:val="-10"/>
                              </w:rPr>
                              <w:t xml:space="preserve">p </w:t>
                            </w:r>
                            <w:r>
                              <w:rPr>
                                <w:spacing w:val="-10"/>
                              </w:rPr>
                              <w:t>= 0.050)</w:t>
                            </w:r>
                          </w:p>
                        </w:tc>
                        <w:tc>
                          <w:tcPr>
                            <w:tcW w:w="850" w:type="dxa"/>
                            <w:tcBorders/>
                            <w:shd w:fill="auto" w:val="clear"/>
                          </w:tcPr>
                          <w:p>
                            <w:pPr>
                              <w:pStyle w:val="Tabel"/>
                              <w:rPr/>
                            </w:pPr>
                            <w:r>
                              <w:rPr/>
                              <w:t>1.93</w:t>
                            </w:r>
                          </w:p>
                        </w:tc>
                        <w:tc>
                          <w:tcPr>
                            <w:tcW w:w="923" w:type="dxa"/>
                            <w:tcBorders/>
                            <w:shd w:fill="auto" w:val="clear"/>
                          </w:tcPr>
                          <w:p>
                            <w:pPr>
                              <w:pStyle w:val="Tabel"/>
                              <w:rPr/>
                            </w:pPr>
                            <w:r>
                              <w:rPr/>
                              <w:t>-1.41</w:t>
                            </w:r>
                          </w:p>
                        </w:tc>
                        <w:tc>
                          <w:tcPr>
                            <w:tcW w:w="924" w:type="dxa"/>
                            <w:tcBorders/>
                            <w:shd w:fill="auto" w:val="clear"/>
                          </w:tcPr>
                          <w:p>
                            <w:pPr>
                              <w:pStyle w:val="Tabel"/>
                              <w:rPr/>
                            </w:pPr>
                            <w:r>
                              <w:rPr/>
                              <w:t>2.46</w:t>
                            </w:r>
                          </w:p>
                        </w:tc>
                        <w:tc>
                          <w:tcPr>
                            <w:tcW w:w="923" w:type="dxa"/>
                            <w:tcBorders/>
                            <w:shd w:fill="auto" w:val="clear"/>
                          </w:tcPr>
                          <w:p>
                            <w:pPr>
                              <w:pStyle w:val="Tabel"/>
                              <w:rPr/>
                            </w:pPr>
                            <w:r>
                              <w:rPr/>
                              <w:t>2.99</w:t>
                            </w:r>
                          </w:p>
                        </w:tc>
                        <w:tc>
                          <w:tcPr>
                            <w:tcW w:w="800" w:type="dxa"/>
                            <w:tcBorders/>
                            <w:shd w:fill="auto" w:val="clear"/>
                          </w:tcPr>
                          <w:p>
                            <w:pPr>
                              <w:pStyle w:val="Tabel"/>
                              <w:rPr/>
                            </w:pPr>
                            <w:r>
                              <w:rPr/>
                              <w:t>-0.20</w:t>
                            </w:r>
                          </w:p>
                        </w:tc>
                      </w:tr>
                      <w:tr>
                        <w:trPr/>
                        <w:tc>
                          <w:tcPr>
                            <w:tcW w:w="1276" w:type="dxa"/>
                            <w:tcBorders/>
                            <w:shd w:fill="auto" w:val="clear"/>
                          </w:tcPr>
                          <w:p>
                            <w:pPr>
                              <w:pStyle w:val="Tabel"/>
                              <w:jc w:val="left"/>
                              <w:rPr/>
                            </w:pPr>
                            <w:r>
                              <w:rPr>
                                <w:spacing w:val="-10"/>
                              </w:rPr>
                              <w:t>OLVGbe</w:t>
                            </w:r>
                          </w:p>
                        </w:tc>
                        <w:tc>
                          <w:tcPr>
                            <w:tcW w:w="851" w:type="dxa"/>
                            <w:tcBorders/>
                            <w:shd w:fill="auto" w:val="clear"/>
                          </w:tcPr>
                          <w:p>
                            <w:pPr>
                              <w:pStyle w:val="Tabel"/>
                              <w:rPr/>
                            </w:pPr>
                            <w:r>
                              <w:rPr/>
                              <w:t>1500</w:t>
                            </w:r>
                          </w:p>
                        </w:tc>
                        <w:tc>
                          <w:tcPr>
                            <w:tcW w:w="738" w:type="dxa"/>
                            <w:tcBorders/>
                            <w:shd w:fill="auto" w:val="clear"/>
                          </w:tcPr>
                          <w:p>
                            <w:pPr>
                              <w:pStyle w:val="Tabel"/>
                              <w:rPr/>
                            </w:pPr>
                            <w:r>
                              <w:rPr/>
                              <w:t>151</w:t>
                            </w:r>
                          </w:p>
                        </w:tc>
                        <w:tc>
                          <w:tcPr>
                            <w:tcW w:w="2097" w:type="dxa"/>
                            <w:tcBorders/>
                            <w:shd w:fill="auto" w:val="clear"/>
                          </w:tcPr>
                          <w:p>
                            <w:pPr>
                              <w:pStyle w:val="Tabel"/>
                              <w:rPr/>
                            </w:pPr>
                            <w:r>
                              <w:rPr>
                                <w:spacing w:val="-10"/>
                              </w:rPr>
                              <w:t>0.889 (</w:t>
                            </w:r>
                            <w:r>
                              <w:rPr>
                                <w:i/>
                                <w:spacing w:val="-10"/>
                              </w:rPr>
                              <w:t xml:space="preserve">p </w:t>
                            </w:r>
                            <w:r>
                              <w:rPr>
                                <w:spacing w:val="-10"/>
                              </w:rPr>
                              <w:t>= 0.051)</w:t>
                            </w:r>
                          </w:p>
                        </w:tc>
                        <w:tc>
                          <w:tcPr>
                            <w:tcW w:w="850" w:type="dxa"/>
                            <w:tcBorders/>
                            <w:shd w:fill="auto" w:val="clear"/>
                          </w:tcPr>
                          <w:p>
                            <w:pPr>
                              <w:pStyle w:val="Tabel"/>
                              <w:rPr/>
                            </w:pPr>
                            <w:r>
                              <w:rPr/>
                              <w:t>0.17</w:t>
                            </w:r>
                          </w:p>
                        </w:tc>
                        <w:tc>
                          <w:tcPr>
                            <w:tcW w:w="923" w:type="dxa"/>
                            <w:tcBorders/>
                            <w:shd w:fill="auto" w:val="clear"/>
                          </w:tcPr>
                          <w:p>
                            <w:pPr>
                              <w:pStyle w:val="Tabel"/>
                              <w:rPr/>
                            </w:pPr>
                            <w:r>
                              <w:rPr/>
                              <w:t>0.08</w:t>
                            </w:r>
                          </w:p>
                        </w:tc>
                        <w:tc>
                          <w:tcPr>
                            <w:tcW w:w="924" w:type="dxa"/>
                            <w:tcBorders/>
                            <w:shd w:fill="auto" w:val="clear"/>
                          </w:tcPr>
                          <w:p>
                            <w:pPr>
                              <w:pStyle w:val="Tabel"/>
                              <w:rPr/>
                            </w:pPr>
                            <w:r>
                              <w:rPr/>
                              <w:t>2.84</w:t>
                            </w:r>
                          </w:p>
                        </w:tc>
                        <w:tc>
                          <w:tcPr>
                            <w:tcW w:w="923" w:type="dxa"/>
                            <w:tcBorders/>
                            <w:shd w:fill="auto" w:val="clear"/>
                          </w:tcPr>
                          <w:p>
                            <w:pPr>
                              <w:pStyle w:val="Tabel"/>
                              <w:rPr/>
                            </w:pPr>
                            <w:r>
                              <w:rPr/>
                              <w:t>3.53</w:t>
                            </w:r>
                          </w:p>
                        </w:tc>
                        <w:tc>
                          <w:tcPr>
                            <w:tcW w:w="800" w:type="dxa"/>
                            <w:tcBorders/>
                            <w:shd w:fill="auto" w:val="clear"/>
                          </w:tcPr>
                          <w:p>
                            <w:pPr>
                              <w:pStyle w:val="Tabel"/>
                              <w:rPr/>
                            </w:pPr>
                            <w:r>
                              <w:rPr/>
                              <w:t>0.16</w:t>
                            </w:r>
                          </w:p>
                        </w:tc>
                      </w:tr>
                      <w:tr>
                        <w:trPr/>
                        <w:tc>
                          <w:tcPr>
                            <w:tcW w:w="1276" w:type="dxa"/>
                            <w:tcBorders/>
                            <w:shd w:fill="auto" w:val="clear"/>
                          </w:tcPr>
                          <w:p>
                            <w:pPr>
                              <w:pStyle w:val="Tabel"/>
                              <w:jc w:val="left"/>
                              <w:rPr/>
                            </w:pPr>
                            <w:r>
                              <w:rPr>
                                <w:spacing w:val="-10"/>
                              </w:rPr>
                              <w:t>OLVGab</w:t>
                            </w:r>
                          </w:p>
                        </w:tc>
                        <w:tc>
                          <w:tcPr>
                            <w:tcW w:w="851" w:type="dxa"/>
                            <w:tcBorders/>
                            <w:shd w:fill="auto" w:val="clear"/>
                          </w:tcPr>
                          <w:p>
                            <w:pPr>
                              <w:pStyle w:val="Tabel"/>
                              <w:rPr/>
                            </w:pPr>
                            <w:r>
                              <w:rPr/>
                              <w:t>1500</w:t>
                            </w:r>
                          </w:p>
                        </w:tc>
                        <w:tc>
                          <w:tcPr>
                            <w:tcW w:w="738" w:type="dxa"/>
                            <w:tcBorders/>
                            <w:shd w:fill="auto" w:val="clear"/>
                          </w:tcPr>
                          <w:p>
                            <w:pPr>
                              <w:pStyle w:val="Tabel"/>
                              <w:rPr/>
                            </w:pPr>
                            <w:r>
                              <w:rPr/>
                              <w:t>125</w:t>
                            </w:r>
                          </w:p>
                        </w:tc>
                        <w:tc>
                          <w:tcPr>
                            <w:tcW w:w="2097" w:type="dxa"/>
                            <w:tcBorders/>
                            <w:shd w:fill="auto" w:val="clear"/>
                          </w:tcPr>
                          <w:p>
                            <w:pPr>
                              <w:pStyle w:val="Tabel"/>
                              <w:rPr/>
                            </w:pPr>
                            <w:r>
                              <w:rPr>
                                <w:spacing w:val="-10"/>
                              </w:rPr>
                              <w:t>0.875 (</w:t>
                            </w:r>
                            <w:r>
                              <w:rPr>
                                <w:i/>
                                <w:spacing w:val="-10"/>
                              </w:rPr>
                              <w:t xml:space="preserve">p </w:t>
                            </w:r>
                            <w:r>
                              <w:rPr>
                                <w:spacing w:val="-10"/>
                              </w:rPr>
                              <w:t>= 0.059)</w:t>
                            </w:r>
                          </w:p>
                        </w:tc>
                        <w:tc>
                          <w:tcPr>
                            <w:tcW w:w="850" w:type="dxa"/>
                            <w:tcBorders/>
                            <w:shd w:fill="auto" w:val="clear"/>
                          </w:tcPr>
                          <w:p>
                            <w:pPr>
                              <w:pStyle w:val="Tabel"/>
                              <w:rPr/>
                            </w:pPr>
                            <w:r>
                              <w:rPr/>
                              <w:t>0.17</w:t>
                            </w:r>
                          </w:p>
                        </w:tc>
                        <w:tc>
                          <w:tcPr>
                            <w:tcW w:w="923" w:type="dxa"/>
                            <w:tcBorders/>
                            <w:shd w:fill="auto" w:val="clear"/>
                          </w:tcPr>
                          <w:p>
                            <w:pPr>
                              <w:pStyle w:val="Tabel"/>
                              <w:rPr/>
                            </w:pPr>
                            <w:r>
                              <w:rPr/>
                              <w:t>0.22</w:t>
                            </w:r>
                          </w:p>
                        </w:tc>
                        <w:tc>
                          <w:tcPr>
                            <w:tcW w:w="924" w:type="dxa"/>
                            <w:tcBorders/>
                            <w:shd w:fill="auto" w:val="clear"/>
                          </w:tcPr>
                          <w:p>
                            <w:pPr>
                              <w:pStyle w:val="Tabel"/>
                              <w:rPr/>
                            </w:pPr>
                            <w:r>
                              <w:rPr/>
                              <w:t>2.42</w:t>
                            </w:r>
                          </w:p>
                        </w:tc>
                        <w:tc>
                          <w:tcPr>
                            <w:tcW w:w="923" w:type="dxa"/>
                            <w:tcBorders/>
                            <w:shd w:fill="auto" w:val="clear"/>
                          </w:tcPr>
                          <w:p>
                            <w:pPr>
                              <w:pStyle w:val="Tabel"/>
                              <w:rPr/>
                            </w:pPr>
                            <w:r>
                              <w:rPr/>
                              <w:t>4.00</w:t>
                            </w:r>
                          </w:p>
                        </w:tc>
                        <w:tc>
                          <w:tcPr>
                            <w:tcW w:w="800" w:type="dxa"/>
                            <w:tcBorders/>
                            <w:shd w:fill="auto" w:val="clear"/>
                          </w:tcPr>
                          <w:p>
                            <w:pPr>
                              <w:pStyle w:val="Tabel"/>
                              <w:rPr/>
                            </w:pPr>
                            <w:r>
                              <w:rPr/>
                              <w:t>-0.01</w:t>
                            </w:r>
                          </w:p>
                        </w:tc>
                      </w:tr>
                      <w:tr>
                        <w:trPr/>
                        <w:tc>
                          <w:tcPr>
                            <w:tcW w:w="1276" w:type="dxa"/>
                            <w:tcBorders/>
                            <w:shd w:fill="auto" w:val="clear"/>
                          </w:tcPr>
                          <w:p>
                            <w:pPr>
                              <w:pStyle w:val="Tabel"/>
                              <w:jc w:val="left"/>
                              <w:rPr>
                                <w:spacing w:val="-10"/>
                              </w:rPr>
                            </w:pPr>
                            <w:r>
                              <w:rPr>
                                <w:spacing w:val="-10"/>
                              </w:rPr>
                              <w:t>SKZbe</w:t>
                            </w:r>
                          </w:p>
                        </w:tc>
                        <w:tc>
                          <w:tcPr>
                            <w:tcW w:w="851" w:type="dxa"/>
                            <w:tcBorders/>
                            <w:shd w:fill="auto" w:val="clear"/>
                          </w:tcPr>
                          <w:p>
                            <w:pPr>
                              <w:pStyle w:val="Tabel"/>
                              <w:rPr/>
                            </w:pPr>
                            <w:r>
                              <w:rPr/>
                              <w:t>1500</w:t>
                            </w:r>
                          </w:p>
                        </w:tc>
                        <w:tc>
                          <w:tcPr>
                            <w:tcW w:w="738" w:type="dxa"/>
                            <w:tcBorders/>
                            <w:shd w:fill="auto" w:val="clear"/>
                          </w:tcPr>
                          <w:p>
                            <w:pPr>
                              <w:pStyle w:val="Tabel"/>
                              <w:rPr/>
                            </w:pPr>
                            <w:r>
                              <w:rPr/>
                              <w:t>139</w:t>
                            </w:r>
                          </w:p>
                        </w:tc>
                        <w:tc>
                          <w:tcPr>
                            <w:tcW w:w="2097" w:type="dxa"/>
                            <w:tcBorders/>
                            <w:shd w:fill="auto" w:val="clear"/>
                          </w:tcPr>
                          <w:p>
                            <w:pPr>
                              <w:pStyle w:val="Tabel"/>
                              <w:rPr/>
                            </w:pPr>
                            <w:r>
                              <w:rPr>
                                <w:spacing w:val="-10"/>
                              </w:rPr>
                              <w:t>0.890 (</w:t>
                            </w:r>
                            <w:r>
                              <w:rPr>
                                <w:i/>
                                <w:spacing w:val="-10"/>
                              </w:rPr>
                              <w:t xml:space="preserve">p </w:t>
                            </w:r>
                            <w:r>
                              <w:rPr>
                                <w:spacing w:val="-10"/>
                              </w:rPr>
                              <w:t>= 0.051)</w:t>
                            </w:r>
                          </w:p>
                        </w:tc>
                        <w:tc>
                          <w:tcPr>
                            <w:tcW w:w="850" w:type="dxa"/>
                            <w:tcBorders/>
                            <w:shd w:fill="auto" w:val="clear"/>
                          </w:tcPr>
                          <w:p>
                            <w:pPr>
                              <w:pStyle w:val="Tabel"/>
                              <w:rPr/>
                            </w:pPr>
                            <w:r>
                              <w:rPr/>
                              <w:t>-4.35</w:t>
                            </w:r>
                          </w:p>
                        </w:tc>
                        <w:tc>
                          <w:tcPr>
                            <w:tcW w:w="923" w:type="dxa"/>
                            <w:tcBorders/>
                            <w:shd w:fill="auto" w:val="clear"/>
                          </w:tcPr>
                          <w:p>
                            <w:pPr>
                              <w:pStyle w:val="Tabel"/>
                              <w:rPr/>
                            </w:pPr>
                            <w:r>
                              <w:rPr/>
                              <w:t>-0.34</w:t>
                            </w:r>
                          </w:p>
                        </w:tc>
                        <w:tc>
                          <w:tcPr>
                            <w:tcW w:w="924" w:type="dxa"/>
                            <w:tcBorders/>
                            <w:shd w:fill="auto" w:val="clear"/>
                          </w:tcPr>
                          <w:p>
                            <w:pPr>
                              <w:pStyle w:val="Tabel"/>
                              <w:rPr/>
                            </w:pPr>
                            <w:r>
                              <w:rPr/>
                              <w:t>3.51</w:t>
                            </w:r>
                          </w:p>
                        </w:tc>
                        <w:tc>
                          <w:tcPr>
                            <w:tcW w:w="923" w:type="dxa"/>
                            <w:tcBorders/>
                            <w:shd w:fill="auto" w:val="clear"/>
                          </w:tcPr>
                          <w:p>
                            <w:pPr>
                              <w:pStyle w:val="Tabel"/>
                              <w:rPr/>
                            </w:pPr>
                            <w:r>
                              <w:rPr/>
                              <w:t>2.94</w:t>
                            </w:r>
                          </w:p>
                        </w:tc>
                        <w:tc>
                          <w:tcPr>
                            <w:tcW w:w="800" w:type="dxa"/>
                            <w:tcBorders/>
                            <w:shd w:fill="auto" w:val="clear"/>
                          </w:tcPr>
                          <w:p>
                            <w:pPr>
                              <w:pStyle w:val="Tabel"/>
                              <w:rPr/>
                            </w:pPr>
                            <w:r>
                              <w:rPr/>
                              <w:t>-0.63</w:t>
                            </w:r>
                          </w:p>
                        </w:tc>
                      </w:tr>
                      <w:tr>
                        <w:trPr/>
                        <w:tc>
                          <w:tcPr>
                            <w:tcW w:w="1276" w:type="dxa"/>
                            <w:tcBorders/>
                            <w:shd w:fill="auto" w:val="clear"/>
                          </w:tcPr>
                          <w:p>
                            <w:pPr>
                              <w:pStyle w:val="Tabel"/>
                              <w:jc w:val="left"/>
                              <w:rPr>
                                <w:spacing w:val="-10"/>
                              </w:rPr>
                            </w:pPr>
                            <w:r>
                              <w:rPr>
                                <w:spacing w:val="-10"/>
                              </w:rPr>
                              <w:t>ELIbe</w:t>
                            </w:r>
                          </w:p>
                        </w:tc>
                        <w:tc>
                          <w:tcPr>
                            <w:tcW w:w="851" w:type="dxa"/>
                            <w:tcBorders/>
                            <w:shd w:fill="auto" w:val="clear"/>
                          </w:tcPr>
                          <w:p>
                            <w:pPr>
                              <w:pStyle w:val="Tabel"/>
                              <w:rPr/>
                            </w:pPr>
                            <w:r>
                              <w:rPr/>
                              <w:t>1500</w:t>
                            </w:r>
                          </w:p>
                        </w:tc>
                        <w:tc>
                          <w:tcPr>
                            <w:tcW w:w="738" w:type="dxa"/>
                            <w:tcBorders/>
                            <w:shd w:fill="auto" w:val="clear"/>
                          </w:tcPr>
                          <w:p>
                            <w:pPr>
                              <w:pStyle w:val="Tabel"/>
                              <w:rPr/>
                            </w:pPr>
                            <w:r>
                              <w:rPr/>
                              <w:t>382</w:t>
                            </w:r>
                          </w:p>
                        </w:tc>
                        <w:tc>
                          <w:tcPr>
                            <w:tcW w:w="2097" w:type="dxa"/>
                            <w:tcBorders/>
                            <w:shd w:fill="auto" w:val="clear"/>
                          </w:tcPr>
                          <w:p>
                            <w:pPr>
                              <w:pStyle w:val="Tabel"/>
                              <w:rPr/>
                            </w:pPr>
                            <w:r>
                              <w:rPr>
                                <w:spacing w:val="-10"/>
                              </w:rPr>
                              <w:t>0.855 (</w:t>
                            </w:r>
                            <w:r>
                              <w:rPr>
                                <w:i/>
                                <w:spacing w:val="-10"/>
                              </w:rPr>
                              <w:t xml:space="preserve">p </w:t>
                            </w:r>
                            <w:r>
                              <w:rPr>
                                <w:spacing w:val="-10"/>
                              </w:rPr>
                              <w:t>= 0.072)</w:t>
                            </w:r>
                          </w:p>
                        </w:tc>
                        <w:tc>
                          <w:tcPr>
                            <w:tcW w:w="850" w:type="dxa"/>
                            <w:tcBorders/>
                            <w:shd w:fill="auto" w:val="clear"/>
                          </w:tcPr>
                          <w:p>
                            <w:pPr>
                              <w:pStyle w:val="Tabel"/>
                              <w:rPr/>
                            </w:pPr>
                            <w:r>
                              <w:rPr/>
                              <w:t>0.53</w:t>
                            </w:r>
                          </w:p>
                        </w:tc>
                        <w:tc>
                          <w:tcPr>
                            <w:tcW w:w="923" w:type="dxa"/>
                            <w:tcBorders/>
                            <w:shd w:fill="auto" w:val="clear"/>
                          </w:tcPr>
                          <w:p>
                            <w:pPr>
                              <w:pStyle w:val="Tabel"/>
                              <w:rPr/>
                            </w:pPr>
                            <w:r>
                              <w:rPr/>
                              <w:t>-0.20</w:t>
                            </w:r>
                          </w:p>
                        </w:tc>
                        <w:tc>
                          <w:tcPr>
                            <w:tcW w:w="924" w:type="dxa"/>
                            <w:tcBorders/>
                            <w:shd w:fill="auto" w:val="clear"/>
                          </w:tcPr>
                          <w:p>
                            <w:pPr>
                              <w:pStyle w:val="Tabel"/>
                              <w:rPr/>
                            </w:pPr>
                            <w:r>
                              <w:rPr/>
                              <w:t>3.40</w:t>
                            </w:r>
                          </w:p>
                        </w:tc>
                        <w:tc>
                          <w:tcPr>
                            <w:tcW w:w="923" w:type="dxa"/>
                            <w:tcBorders/>
                            <w:shd w:fill="auto" w:val="clear"/>
                          </w:tcPr>
                          <w:p>
                            <w:pPr>
                              <w:pStyle w:val="Tabel"/>
                              <w:rPr/>
                            </w:pPr>
                            <w:r>
                              <w:rPr/>
                              <w:t>3.39</w:t>
                            </w:r>
                          </w:p>
                        </w:tc>
                        <w:tc>
                          <w:tcPr>
                            <w:tcW w:w="800" w:type="dxa"/>
                            <w:tcBorders/>
                            <w:shd w:fill="auto" w:val="clear"/>
                          </w:tcPr>
                          <w:p>
                            <w:pPr>
                              <w:pStyle w:val="Tabel"/>
                              <w:rPr/>
                            </w:pPr>
                            <w:r>
                              <w:rPr/>
                              <w:t>0.27</w:t>
                            </w:r>
                          </w:p>
                        </w:tc>
                      </w:tr>
                      <w:tr>
                        <w:trPr/>
                        <w:tc>
                          <w:tcPr>
                            <w:tcW w:w="1276" w:type="dxa"/>
                            <w:tcBorders>
                              <w:bottom w:val="single" w:sz="6" w:space="0" w:color="000000"/>
                              <w:insideH w:val="single" w:sz="6" w:space="0" w:color="000000"/>
                            </w:tcBorders>
                            <w:shd w:fill="auto" w:val="clear"/>
                          </w:tcPr>
                          <w:p>
                            <w:pPr>
                              <w:pStyle w:val="Tabel"/>
                              <w:jc w:val="left"/>
                              <w:rPr>
                                <w:spacing w:val="-10"/>
                              </w:rPr>
                            </w:pPr>
                            <w:r>
                              <w:rPr>
                                <w:spacing w:val="-10"/>
                              </w:rPr>
                              <w:t>ELIab</w:t>
                            </w:r>
                          </w:p>
                        </w:tc>
                        <w:tc>
                          <w:tcPr>
                            <w:tcW w:w="851" w:type="dxa"/>
                            <w:tcBorders>
                              <w:bottom w:val="single" w:sz="6" w:space="0" w:color="000000"/>
                              <w:insideH w:val="single" w:sz="6" w:space="0" w:color="000000"/>
                            </w:tcBorders>
                            <w:shd w:fill="auto" w:val="clear"/>
                          </w:tcPr>
                          <w:p>
                            <w:pPr>
                              <w:pStyle w:val="Tabel"/>
                              <w:rPr/>
                            </w:pPr>
                            <w:r>
                              <w:rPr/>
                              <w:t>1500</w:t>
                            </w:r>
                          </w:p>
                        </w:tc>
                        <w:tc>
                          <w:tcPr>
                            <w:tcW w:w="738" w:type="dxa"/>
                            <w:tcBorders>
                              <w:bottom w:val="single" w:sz="6" w:space="0" w:color="000000"/>
                              <w:insideH w:val="single" w:sz="6" w:space="0" w:color="000000"/>
                            </w:tcBorders>
                            <w:shd w:fill="auto" w:val="clear"/>
                          </w:tcPr>
                          <w:p>
                            <w:pPr>
                              <w:pStyle w:val="Tabel"/>
                              <w:rPr/>
                            </w:pPr>
                            <w:r>
                              <w:rPr/>
                              <w:t>307</w:t>
                            </w:r>
                          </w:p>
                        </w:tc>
                        <w:tc>
                          <w:tcPr>
                            <w:tcW w:w="2097" w:type="dxa"/>
                            <w:tcBorders>
                              <w:bottom w:val="single" w:sz="6" w:space="0" w:color="000000"/>
                              <w:insideH w:val="single" w:sz="6" w:space="0" w:color="000000"/>
                            </w:tcBorders>
                            <w:shd w:fill="auto" w:val="clear"/>
                          </w:tcPr>
                          <w:p>
                            <w:pPr>
                              <w:pStyle w:val="Tabel"/>
                              <w:rPr/>
                            </w:pPr>
                            <w:r>
                              <w:rPr>
                                <w:spacing w:val="-10"/>
                              </w:rPr>
                              <w:t>0.882 (</w:t>
                            </w:r>
                            <w:r>
                              <w:rPr>
                                <w:i/>
                                <w:spacing w:val="-10"/>
                              </w:rPr>
                              <w:t xml:space="preserve">p </w:t>
                            </w:r>
                            <w:r>
                              <w:rPr>
                                <w:spacing w:val="-10"/>
                              </w:rPr>
                              <w:t>= 0.055)</w:t>
                            </w:r>
                          </w:p>
                        </w:tc>
                        <w:tc>
                          <w:tcPr>
                            <w:tcW w:w="850" w:type="dxa"/>
                            <w:tcBorders>
                              <w:bottom w:val="single" w:sz="6" w:space="0" w:color="000000"/>
                              <w:insideH w:val="single" w:sz="6" w:space="0" w:color="000000"/>
                            </w:tcBorders>
                            <w:shd w:fill="auto" w:val="clear"/>
                          </w:tcPr>
                          <w:p>
                            <w:pPr>
                              <w:pStyle w:val="Tabel"/>
                              <w:rPr/>
                            </w:pPr>
                            <w:r>
                              <w:rPr/>
                              <w:t>0.31</w:t>
                            </w:r>
                          </w:p>
                        </w:tc>
                        <w:tc>
                          <w:tcPr>
                            <w:tcW w:w="923" w:type="dxa"/>
                            <w:tcBorders>
                              <w:bottom w:val="single" w:sz="6" w:space="0" w:color="000000"/>
                              <w:insideH w:val="single" w:sz="6" w:space="0" w:color="000000"/>
                            </w:tcBorders>
                            <w:shd w:fill="auto" w:val="clear"/>
                          </w:tcPr>
                          <w:p>
                            <w:pPr>
                              <w:pStyle w:val="Tabel"/>
                              <w:rPr/>
                            </w:pPr>
                            <w:r>
                              <w:rPr/>
                              <w:t>-0.15</w:t>
                            </w:r>
                          </w:p>
                        </w:tc>
                        <w:tc>
                          <w:tcPr>
                            <w:tcW w:w="924" w:type="dxa"/>
                            <w:tcBorders>
                              <w:bottom w:val="single" w:sz="6" w:space="0" w:color="000000"/>
                              <w:insideH w:val="single" w:sz="6" w:space="0" w:color="000000"/>
                            </w:tcBorders>
                            <w:shd w:fill="auto" w:val="clear"/>
                          </w:tcPr>
                          <w:p>
                            <w:pPr>
                              <w:pStyle w:val="Tabel"/>
                              <w:rPr/>
                            </w:pPr>
                            <w:r>
                              <w:rPr/>
                              <w:t>3.16</w:t>
                            </w:r>
                          </w:p>
                        </w:tc>
                        <w:tc>
                          <w:tcPr>
                            <w:tcW w:w="923" w:type="dxa"/>
                            <w:tcBorders>
                              <w:bottom w:val="single" w:sz="6" w:space="0" w:color="000000"/>
                              <w:insideH w:val="single" w:sz="6" w:space="0" w:color="000000"/>
                            </w:tcBorders>
                            <w:shd w:fill="auto" w:val="clear"/>
                          </w:tcPr>
                          <w:p>
                            <w:pPr>
                              <w:pStyle w:val="Tabel"/>
                              <w:rPr/>
                            </w:pPr>
                            <w:r>
                              <w:rPr/>
                              <w:t>3.63</w:t>
                            </w:r>
                          </w:p>
                        </w:tc>
                        <w:tc>
                          <w:tcPr>
                            <w:tcW w:w="800" w:type="dxa"/>
                            <w:tcBorders>
                              <w:bottom w:val="single" w:sz="6" w:space="0" w:color="000000"/>
                              <w:insideH w:val="single" w:sz="6" w:space="0" w:color="000000"/>
                            </w:tcBorders>
                            <w:shd w:fill="auto" w:val="clear"/>
                          </w:tcPr>
                          <w:p>
                            <w:pPr>
                              <w:pStyle w:val="Tabel"/>
                              <w:rPr/>
                            </w:pPr>
                            <w:r>
                              <w:rPr/>
                              <w:t>0.18</w:t>
                            </w:r>
                          </w:p>
                        </w:tc>
                      </w:tr>
                    </w:tbl>
                    <w:p>
                      <w:pPr>
                        <w:pStyle w:val="Tabel"/>
                        <w:rPr/>
                      </w:pPr>
                      <w:r>
                        <w:rPr/>
                      </w:r>
                    </w:p>
                  </w:txbxContent>
                </v:textbox>
                <w10:wrap type="topAndBottom"/>
              </v:rect>
            </w:pict>
          </mc:Fallback>
        </mc:AlternateContent>
      </w:r>
      <w:r>
        <mc:AlternateContent>
          <mc:Choice Requires="wps">
            <w:drawing>
              <wp:anchor behindDoc="0" distT="0" distB="0" distL="114935" distR="114935" simplePos="0" locked="0" layoutInCell="1" allowOverlap="1" relativeHeight="52">
                <wp:simplePos x="0" y="0"/>
                <wp:positionH relativeFrom="column">
                  <wp:posOffset>1609090</wp:posOffset>
                </wp:positionH>
                <wp:positionV relativeFrom="page">
                  <wp:posOffset>6753225</wp:posOffset>
                </wp:positionV>
                <wp:extent cx="2172970" cy="324485"/>
                <wp:effectExtent l="0" t="0" r="0" b="0"/>
                <wp:wrapNone/>
                <wp:docPr id="19" name="Frame8"/>
                <a:graphic xmlns:a="http://schemas.openxmlformats.org/drawingml/2006/main">
                  <a:graphicData uri="http://schemas.microsoft.com/office/word/2010/wordprocessingShape">
                    <wps:wsp>
                      <wps:cNvSpPr txBox="1"/>
                      <wps:spPr>
                        <a:xfrm>
                          <a:off x="0" y="0"/>
                          <a:ext cx="2172970" cy="324485"/>
                        </a:xfrm>
                        <a:prstGeom prst="rect"/>
                        <a:solidFill>
                          <a:srgbClr val="FFFFFF"/>
                        </a:solidFill>
                        <a:ln w="9525">
                          <a:solidFill>
                            <a:srgbClr val="000000"/>
                          </a:solidFill>
                        </a:ln>
                      </wps:spPr>
                      <wps:txbx>
                        <w:txbxContent>
                          <w:p>
                            <w:pPr>
                              <w:pStyle w:val="Caption"/>
                              <w:tabs>
                                <w:tab w:val="center" w:pos="4394" w:leader="none"/>
                                <w:tab w:val="right" w:pos="8789" w:leader="none"/>
                              </w:tabs>
                              <w:suppressAutoHyphens w:val="true"/>
                              <w:spacing w:lineRule="exact" w:line="280" w:before="60" w:after="60"/>
                              <w:rPr/>
                            </w:pPr>
                            <w:r>
                              <w:rPr>
                                <w:i w:val="false"/>
                              </w:rPr>
                              <w:t>*D</w:t>
                            </w:r>
                            <w:r>
                              <w:rPr>
                                <w:i w:val="false"/>
                                <w:vertAlign w:val="subscript"/>
                              </w:rPr>
                              <w:t>max</w:t>
                            </w:r>
                            <w:r>
                              <w:rPr>
                                <w:i w:val="false"/>
                              </w:rPr>
                              <w:t xml:space="preserve"> =  0.855 (</w:t>
                            </w:r>
                            <w:r>
                              <w:rPr/>
                              <w:t>p</w:t>
                            </w:r>
                            <w:r>
                              <w:rPr>
                                <w:i w:val="false"/>
                              </w:rPr>
                              <w:t>-value = 0.072)</w:t>
                            </w:r>
                          </w:p>
                        </w:txbxContent>
                      </wps:txbx>
                      <wps:bodyPr anchor="t" lIns="12700" tIns="12700" rIns="12700" bIns="12700">
                        <a:noAutofit/>
                      </wps:bodyPr>
                    </wps:wsp>
                  </a:graphicData>
                </a:graphic>
              </wp:anchor>
            </w:drawing>
          </mc:Choice>
          <mc:Fallback>
            <w:pict>
              <v:rect fillcolor="#FFFFFF" strokecolor="#000000" strokeweight="0pt" style="position:absolute;rotation:0;width:171.1pt;height:25.55pt;mso-wrap-distance-left:9.05pt;mso-wrap-distance-right:9.05pt;mso-wrap-distance-top:0pt;mso-wrap-distance-bottom:0pt;margin-top:531.75pt;mso-position-vertical-relative:page;margin-left:126.7pt;mso-position-horizontal-relative:text">
                <v:textbox inset="0.0138888888888889in,0.0138888888888889in,0.0138888888888889in,0.0138888888888889in">
                  <w:txbxContent>
                    <w:p>
                      <w:pPr>
                        <w:pStyle w:val="Caption"/>
                        <w:tabs>
                          <w:tab w:val="center" w:pos="4394" w:leader="none"/>
                          <w:tab w:val="right" w:pos="8789" w:leader="none"/>
                        </w:tabs>
                        <w:suppressAutoHyphens w:val="true"/>
                        <w:spacing w:lineRule="exact" w:line="280" w:before="60" w:after="60"/>
                        <w:rPr/>
                      </w:pPr>
                      <w:r>
                        <w:rPr>
                          <w:i w:val="false"/>
                        </w:rPr>
                        <w:t>*D</w:t>
                      </w:r>
                      <w:r>
                        <w:rPr>
                          <w:i w:val="false"/>
                          <w:vertAlign w:val="subscript"/>
                        </w:rPr>
                        <w:t>max</w:t>
                      </w:r>
                      <w:r>
                        <w:rPr>
                          <w:i w:val="false"/>
                        </w:rPr>
                        <w:t xml:space="preserve"> =  0.855 (</w:t>
                      </w:r>
                      <w:r>
                        <w:rPr/>
                        <w:t>p</w:t>
                      </w:r>
                      <w:r>
                        <w:rPr>
                          <w:i w:val="false"/>
                        </w:rPr>
                        <w:t>-value = 0.072)</w:t>
                      </w:r>
                    </w:p>
                  </w:txbxContent>
                </v:textbox>
              </v:rect>
            </w:pict>
          </mc:Fallback>
        </mc:AlternateContent>
      </w:r>
    </w:p>
    <w:p>
      <w:pPr>
        <w:pStyle w:val="Normal"/>
        <w:rPr/>
      </w:pPr>
      <w:r>
        <w:rPr/>
        <w:t>For the models based on the actual bicarbonate concentration (</w:t>
      </w:r>
      <w:r>
        <w:rPr/>
        <w:fldChar w:fldCharType="begin"/>
      </w:r>
      <w:r>
        <w:rPr/>
        <w:instrText> REF _Ref426430391 \h </w:instrText>
      </w:r>
      <w:r>
        <w:rPr/>
        <w:fldChar w:fldCharType="separate"/>
      </w:r>
      <w:r>
        <w:rPr/>
        <w:t>Figure  4 –10</w:t>
      </w:r>
      <w:r>
        <w:rPr/>
        <w:fldChar w:fldCharType="end"/>
      </w:r>
      <w:r>
        <w:rPr/>
        <w:t xml:space="preserve"> and</w:t>
      </w:r>
      <w:r>
        <w:rPr>
          <w:b/>
        </w:rPr>
        <w:t xml:space="preserve"> </w:t>
      </w:r>
      <w:r>
        <w:rPr>
          <w:b/>
        </w:rPr>
        <w:fldChar w:fldCharType="begin"/>
      </w:r>
      <w:r>
        <w:rPr>
          <w:b/>
        </w:rPr>
        <w:instrText> REF _Ref426429493 \h </w:instrText>
      </w:r>
      <w:r>
        <w:rPr>
          <w:b/>
        </w:rPr>
        <w:fldChar w:fldCharType="separate"/>
      </w:r>
      <w:r>
        <w:rPr>
          <w:b/>
        </w:rPr>
        <w:t>Figure  4 –11</w:t>
      </w:r>
      <w:r>
        <w:rPr>
          <w:b/>
        </w:rPr>
        <w:fldChar w:fldCharType="end"/>
      </w:r>
      <w:r>
        <w:rPr/>
        <w:t xml:space="preserve">), it can be seen that the equal probability ellipses are also very wide but centred around the origin of the chart. </w:t>
      </w:r>
    </w:p>
    <w:p>
      <w:pPr>
        <w:pStyle w:val="Heading2"/>
        <w:numPr>
          <w:ilvl w:val="1"/>
          <w:numId w:val="1"/>
        </w:numPr>
        <w:rPr/>
      </w:pPr>
      <w:r>
        <w:rPr/>
        <w:t>Discussion</w:t>
      </w:r>
      <w:r>
        <mc:AlternateContent>
          <mc:Choice Requires="wps">
            <w:drawing>
              <wp:anchor behindDoc="0" distT="0" distB="114935" distL="114935" distR="114935" simplePos="0" locked="0" layoutInCell="1" allowOverlap="1" relativeHeight="17">
                <wp:simplePos x="0" y="0"/>
                <wp:positionH relativeFrom="margin">
                  <wp:align>center</wp:align>
                </wp:positionH>
                <wp:positionV relativeFrom="margin">
                  <wp:align>top</wp:align>
                </wp:positionV>
                <wp:extent cx="5683885" cy="3517900"/>
                <wp:effectExtent l="0" t="0" r="0" b="0"/>
                <wp:wrapTopAndBottom/>
                <wp:docPr id="20" name="Frame10"/>
                <a:graphic xmlns:a="http://schemas.openxmlformats.org/drawingml/2006/main">
                  <a:graphicData uri="http://schemas.microsoft.com/office/word/2010/wordprocessingShape">
                    <wps:wsp>
                      <wps:cNvSpPr txBox="1"/>
                      <wps:spPr>
                        <a:xfrm>
                          <a:off x="0" y="0"/>
                          <a:ext cx="5683885" cy="3517900"/>
                        </a:xfrm>
                        <a:prstGeom prst="rect"/>
                        <a:solidFill>
                          <a:srgbClr val="FFFFFF">
                            <a:alpha val="0"/>
                          </a:srgbClr>
                        </a:solidFill>
                      </wps:spPr>
                      <wps:txbx>
                        <w:txbxContent>
                          <w:p>
                            <w:pPr>
                              <w:pStyle w:val="Plaatsingfiguur"/>
                              <w:rPr>
                                <w:rStyle w:val="Buffer"/>
                              </w:rPr>
                            </w:pPr>
                            <w:r>
                              <w:rPr>
                                <w:rStyle w:val="Buffer"/>
                              </w:rPr>
                              <w:drawing>
                                <wp:inline distT="0" distB="0" distL="0" distR="0">
                                  <wp:extent cx="3517900" cy="312420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rcRect l="-14" t="-16" r="-14" b="-16"/>
                                          <a:stretch>
                                            <a:fillRect/>
                                          </a:stretch>
                                        </pic:blipFill>
                                        <pic:spPr bwMode="auto">
                                          <a:xfrm>
                                            <a:off x="0" y="0"/>
                                            <a:ext cx="3517900" cy="31242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61" w:name="_Ref426429482"/>
                            <w:r>
                              <w:rPr>
                                <w:rStyle w:val="Buffer"/>
                              </w:rPr>
                              <w:t>F</w:t>
                            </w:r>
                            <w:r>
                              <w:rPr/>
                              <w:t xml:space="preserve">igure </w:t>
                            </w:r>
                            <w:r>
                              <w:fldChar w:fldCharType="begin"/>
                            </w:r>
                            <w:r>
                              <w:rPr/>
                              <w:instrText> STYLEREF 1 \s </w:instrText>
                            </w:r>
                            <w:r>
                              <w:rPr/>
                              <w:fldChar w:fldCharType="separate"/>
                            </w:r>
                            <w:bookmarkStart w:id="62" w:name="__Fieldmark__31_4042815248"/>
                            <w:r>
                              <w:rPr>
                                <w:lang w:val="en-US"/>
                              </w:rPr>
                              <w:t>4</w:t>
                            </w:r>
                            <w:r>
                              <w:rPr>
                                <w:lang w:val="en-US"/>
                              </w:rPr>
                            </w:r>
                            <w:r>
                              <w:rPr/>
                              <w:fldChar w:fldCharType="end"/>
                            </w:r>
                            <w:bookmarkEnd w:id="62"/>
                            <w:r>
                              <w:rPr/>
                              <w:t>–</w:t>
                            </w:r>
                            <w:r>
                              <w:rPr/>
                              <w:fldChar w:fldCharType="begin"/>
                            </w:r>
                            <w:r>
                              <w:rPr/>
                              <w:instrText> SEQ Figure \* ARABIC </w:instrText>
                            </w:r>
                            <w:r>
                              <w:rPr/>
                              <w:fldChar w:fldCharType="separate"/>
                            </w:r>
                            <w:r>
                              <w:rPr/>
                              <w:t>6</w:t>
                            </w:r>
                            <w:r>
                              <w:rPr/>
                              <w:fldChar w:fldCharType="end"/>
                            </w:r>
                            <w:bookmarkEnd w:id="61"/>
                            <w:r>
                              <w:rPr/>
                              <w:t xml:space="preserve">. The 30% equal probability ellipse (inner ellipse) and the 95% equal probability ellipse (outer ellipse) for the </w:t>
                            </w:r>
                            <w:r>
                              <w:rPr>
                                <w:rStyle w:val="Nietafbreken"/>
                              </w:rPr>
                              <w:t>ELIbe</w:t>
                            </w:r>
                            <w:r>
                              <w:rPr/>
                              <w:t xml:space="preserve"> data set</w:t>
                            </w:r>
                          </w:p>
                        </w:txbxContent>
                      </wps:txbx>
                      <wps:bodyPr anchor="t" lIns="0" tIns="0" rIns="0" bIns="0">
                        <a:noAutofit/>
                      </wps:bodyPr>
                    </wps:wsp>
                  </a:graphicData>
                </a:graphic>
              </wp:anchor>
            </w:drawing>
          </mc:Choice>
          <mc:Fallback>
            <w:pict>
              <v:rect fillcolor="#FFFFFF" style="position:absolute;rotation:0;width:447.55pt;height:277pt;mso-wrap-distance-left:9.05pt;mso-wrap-distance-right:9.05pt;mso-wrap-distance-top:0pt;mso-wrap-distance-bottom:9.05pt;margin-top:0pt;mso-position-vertical:top;mso-position-vertical-relative:margin;margin-left:10.1pt;mso-position-horizontal:center;mso-position-horizontal-relative:margin">
                <v:fill opacity="0f"/>
                <v:textbox>
                  <w:txbxContent>
                    <w:p>
                      <w:pPr>
                        <w:pStyle w:val="Plaatsingfiguur"/>
                        <w:rPr>
                          <w:rStyle w:val="Buffer"/>
                        </w:rPr>
                      </w:pPr>
                      <w:r>
                        <w:rPr>
                          <w:rStyle w:val="Buffer"/>
                        </w:rPr>
                        <w:drawing>
                          <wp:inline distT="0" distB="0" distL="0" distR="0">
                            <wp:extent cx="3517900" cy="312420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7"/>
                                    <a:srcRect l="-14" t="-16" r="-14" b="-16"/>
                                    <a:stretch>
                                      <a:fillRect/>
                                    </a:stretch>
                                  </pic:blipFill>
                                  <pic:spPr bwMode="auto">
                                    <a:xfrm>
                                      <a:off x="0" y="0"/>
                                      <a:ext cx="3517900" cy="31242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63" w:name="_Ref426429482"/>
                      <w:r>
                        <w:rPr>
                          <w:rStyle w:val="Buffer"/>
                        </w:rPr>
                        <w:t>F</w:t>
                      </w:r>
                      <w:r>
                        <w:rPr/>
                        <w:t xml:space="preserve">igure </w:t>
                      </w:r>
                      <w:r>
                        <w:fldChar w:fldCharType="begin"/>
                      </w:r>
                      <w:r>
                        <w:rPr/>
                        <w:instrText> STYLEREF 1 \s </w:instrText>
                      </w:r>
                      <w:r>
                        <w:rPr/>
                        <w:fldChar w:fldCharType="separate"/>
                      </w:r>
                      <w:bookmarkStart w:id="64" w:name="__Fieldmark__31_4042815248"/>
                      <w:r>
                        <w:rPr>
                          <w:lang w:val="en-US"/>
                        </w:rPr>
                        <w:t>4</w:t>
                      </w:r>
                      <w:r>
                        <w:rPr>
                          <w:lang w:val="en-US"/>
                        </w:rPr>
                      </w:r>
                      <w:r>
                        <w:rPr/>
                        <w:fldChar w:fldCharType="end"/>
                      </w:r>
                      <w:bookmarkEnd w:id="64"/>
                      <w:r>
                        <w:rPr/>
                        <w:t>–</w:t>
                      </w:r>
                      <w:r>
                        <w:rPr/>
                        <w:fldChar w:fldCharType="begin"/>
                      </w:r>
                      <w:r>
                        <w:rPr/>
                        <w:instrText> SEQ Figure \* ARABIC </w:instrText>
                      </w:r>
                      <w:r>
                        <w:rPr/>
                        <w:fldChar w:fldCharType="separate"/>
                      </w:r>
                      <w:r>
                        <w:rPr/>
                        <w:t>6</w:t>
                      </w:r>
                      <w:r>
                        <w:rPr/>
                        <w:fldChar w:fldCharType="end"/>
                      </w:r>
                      <w:bookmarkEnd w:id="63"/>
                      <w:r>
                        <w:rPr/>
                        <w:t xml:space="preserve">. The 30% equal probability ellipse (inner ellipse) and the 95% equal probability ellipse (outer ellipse) for the </w:t>
                      </w:r>
                      <w:r>
                        <w:rPr>
                          <w:rStyle w:val="Nietafbreken"/>
                        </w:rPr>
                        <w:t>ELIbe</w:t>
                      </w:r>
                      <w:r>
                        <w:rPr/>
                        <w:t xml:space="preserve"> data set</w:t>
                      </w:r>
                    </w:p>
                  </w:txbxContent>
                </v:textbox>
                <w10:wrap type="topAndBottom"/>
              </v:rect>
            </w:pict>
          </mc:Fallback>
        </mc:AlternateContent>
      </w:r>
    </w:p>
    <w:p>
      <w:pPr>
        <w:pStyle w:val="Normal"/>
        <w:rPr/>
      </w:pPr>
      <w:r>
        <w:rPr/>
        <w:t xml:space="preserve">In this chapter, an iterative method is described for the determination of bivariate reference models for acid-base variables, based on values coming from intensive care patients themselves. The proposed method closely resembles the iterative method described by Gelsema </w:t>
      </w:r>
      <w:r>
        <w:rPr>
          <w:i/>
        </w:rPr>
        <w:t xml:space="preserve">et al. </w:t>
      </w:r>
      <w:r>
        <w:rPr/>
        <w:t xml:space="preserve">for defining multivariate reference models from patient data </w:t>
      </w:r>
      <w:r>
        <w:fldChar w:fldCharType="begin"/>
      </w:r>
      <w:r>
        <w:rPr/>
        <w:instrText> ADDIN ENRf8 _x0001_</w:instrText>
      </w:r>
      <w:r>
        <w:rPr/>
        <w:fldChar w:fldCharType="separate"/>
      </w:r>
      <w:bookmarkStart w:id="65" w:name="__Fieldmark__32_4042815248"/>
      <w:r>
        <w:rPr/>
        <w:t>[27]</w:t>
      </w:r>
      <w:r>
        <w:rPr/>
      </w:r>
      <w:r>
        <w:rPr/>
        <w:fldChar w:fldCharType="end"/>
      </w:r>
      <w:bookmarkEnd w:id="65"/>
      <w:r>
        <w:rPr/>
        <w:t xml:space="preserve">. In this method, the background model parameters are estimated by iteratively including an increasing number of observations from the centre of a multivariate distribution and verifying whether the included cases still belong to a multivariate Gaussian distribution. In general, however, there are fewer </w:t>
      </w:r>
      <w:r>
        <w:rPr>
          <w:i/>
        </w:rPr>
        <w:t>aberrant</w:t>
      </w:r>
      <w:r>
        <w:rPr/>
        <w:t xml:space="preserve"> observations than </w:t>
      </w:r>
      <w:r>
        <w:rPr>
          <w:i/>
        </w:rPr>
        <w:t>normal</w:t>
      </w:r>
      <w:r>
        <w:rPr/>
        <w:t xml:space="preserve"> observations in an unselected patient distribution and the method of Gelsema </w:t>
      </w:r>
      <w:r>
        <w:rPr>
          <w:i/>
        </w:rPr>
        <w:t>et al.</w:t>
      </w:r>
      <w:r>
        <w:rPr/>
        <w:t xml:space="preserve"> may therefore be less efficient. Moreover, in the method of Gelsema the verification of the multivariate Gaussian assumption consists of a visual inspection of graphical output. In the method proposed in this chapter, the 1-dimensional Kolmogorov-Smirnov goodness-of-fit test is used to statistically verify the underlying multivariate Gaussian assumption. This makes the method suitable for an objective and fully automated process. Although the method was designed for the analysis of acid-base data, it can be used to define multivariate reference models for any combination of laboratory data or other measurements.</w:t>
      </w:r>
    </w:p>
    <w:p>
      <w:pPr>
        <w:pStyle w:val="Normal"/>
        <w:rPr/>
      </w:pPr>
      <w:r>
        <w:rPr/>
        <w:t xml:space="preserve">In clinical chemistry, the derivation of valid reference models from unselected patient data sets has always been attractive. No special sampling procedures are necessary, since routine daily measurements from the clinical chemical laboratory can be used. No extra costs for performing laboratory tests are involved and there is a direct relation of the reference model with the target population </w:t>
      </w:r>
      <w:r>
        <w:fldChar w:fldCharType="begin"/>
      </w:r>
      <w:r>
        <w:rPr/>
        <w:instrText> ADDIN ENRf8 _x0001_</w:instrText>
      </w:r>
      <w:r>
        <w:rPr/>
        <w:fldChar w:fldCharType="separate"/>
      </w:r>
      <w:bookmarkStart w:id="66" w:name="__Fieldmark__34_4042815248"/>
      <w:r>
        <w:rPr/>
        <w:t>[28]</w:t>
      </w:r>
      <w:r>
        <w:rPr/>
      </w:r>
      <w:r>
        <w:rPr/>
        <w:fldChar w:fldCharType="end"/>
      </w:r>
      <w:bookmarkEnd w:id="66"/>
      <w:r>
        <w:rPr/>
        <w:t>.</w:t>
      </w:r>
      <w:r>
        <mc:AlternateContent>
          <mc:Choice Requires="wps">
            <w:drawing>
              <wp:anchor behindDoc="0" distT="0" distB="114935" distL="114935" distR="114935" simplePos="0" locked="0" layoutInCell="1" allowOverlap="1" relativeHeight="19">
                <wp:simplePos x="0" y="0"/>
                <wp:positionH relativeFrom="margin">
                  <wp:align>center</wp:align>
                </wp:positionH>
                <wp:positionV relativeFrom="margin">
                  <wp:align>top</wp:align>
                </wp:positionV>
                <wp:extent cx="5683885" cy="3456305"/>
                <wp:effectExtent l="0" t="0" r="0" b="0"/>
                <wp:wrapTopAndBottom/>
                <wp:docPr id="23" name="Frame11"/>
                <a:graphic xmlns:a="http://schemas.openxmlformats.org/drawingml/2006/main">
                  <a:graphicData uri="http://schemas.microsoft.com/office/word/2010/wordprocessingShape">
                    <wps:wsp>
                      <wps:cNvSpPr txBox="1"/>
                      <wps:spPr>
                        <a:xfrm>
                          <a:off x="0" y="0"/>
                          <a:ext cx="5683885" cy="3456305"/>
                        </a:xfrm>
                        <a:prstGeom prst="rect"/>
                        <a:solidFill>
                          <a:srgbClr val="FFFFFF">
                            <a:alpha val="0"/>
                          </a:srgbClr>
                        </a:solidFill>
                      </wps:spPr>
                      <wps:txbx>
                        <w:txbxContent>
                          <w:p>
                            <w:pPr>
                              <w:pStyle w:val="Plaatsingfiguur"/>
                              <w:rPr>
                                <w:rStyle w:val="Buffer"/>
                              </w:rPr>
                            </w:pPr>
                            <w:r>
                              <w:rPr>
                                <w:rStyle w:val="Buffer"/>
                              </w:rPr>
                              <w:drawing>
                                <wp:inline distT="0" distB="0" distL="0" distR="0">
                                  <wp:extent cx="3366135" cy="306260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8"/>
                                          <a:srcRect l="-14" t="-16" r="-14" b="-16"/>
                                          <a:stretch>
                                            <a:fillRect/>
                                          </a:stretch>
                                        </pic:blipFill>
                                        <pic:spPr bwMode="auto">
                                          <a:xfrm>
                                            <a:off x="0" y="0"/>
                                            <a:ext cx="3366135" cy="306260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67" w:name="_Ref426430240"/>
                            <w:r>
                              <w:rPr>
                                <w:rStyle w:val="Buffer"/>
                              </w:rPr>
                              <w:t>F</w:t>
                            </w:r>
                            <w:r>
                              <w:rPr/>
                              <w:t xml:space="preserve">igure </w:t>
                            </w:r>
                            <w:r>
                              <w:fldChar w:fldCharType="begin"/>
                            </w:r>
                            <w:r>
                              <w:rPr/>
                              <w:instrText> STYLEREF 1 \s </w:instrText>
                            </w:r>
                            <w:r>
                              <w:rPr/>
                              <w:fldChar w:fldCharType="separate"/>
                            </w:r>
                            <w:bookmarkStart w:id="68" w:name="__Fieldmark__33_4042815248"/>
                            <w:r>
                              <w:rPr>
                                <w:lang w:val="en-US"/>
                              </w:rPr>
                              <w:t>4</w:t>
                            </w:r>
                            <w:r>
                              <w:rPr>
                                <w:lang w:val="en-US"/>
                              </w:rPr>
                            </w:r>
                            <w:r>
                              <w:rPr/>
                              <w:fldChar w:fldCharType="end"/>
                            </w:r>
                            <w:bookmarkEnd w:id="68"/>
                            <w:r>
                              <w:rPr/>
                              <w:t>–</w:t>
                            </w:r>
                            <w:r>
                              <w:rPr/>
                              <w:fldChar w:fldCharType="begin"/>
                            </w:r>
                            <w:r>
                              <w:rPr/>
                              <w:instrText> SEQ Figure \* ARABIC </w:instrText>
                            </w:r>
                            <w:r>
                              <w:rPr/>
                              <w:fldChar w:fldCharType="separate"/>
                            </w:r>
                            <w:r>
                              <w:rPr/>
                              <w:t>7</w:t>
                            </w:r>
                            <w:r>
                              <w:rPr/>
                              <w:fldChar w:fldCharType="end"/>
                            </w:r>
                            <w:bookmarkEnd w:id="67"/>
                            <w:r>
                              <w:rPr/>
                              <w:t xml:space="preserve">. The 30% equal probability ellipse (inner ellipse) and the 95% equal probability ellipse (outer ellipse) for the </w:t>
                            </w:r>
                            <w:r>
                              <w:rPr>
                                <w:rStyle w:val="Nietafbreken"/>
                              </w:rPr>
                              <w:t>OLVGbe</w:t>
                            </w:r>
                            <w:r>
                              <w:rPr/>
                              <w:t xml:space="preserve"> data set</w:t>
                            </w:r>
                          </w:p>
                        </w:txbxContent>
                      </wps:txbx>
                      <wps:bodyPr anchor="t" lIns="0" tIns="0" rIns="0" bIns="0">
                        <a:noAutofit/>
                      </wps:bodyPr>
                    </wps:wsp>
                  </a:graphicData>
                </a:graphic>
              </wp:anchor>
            </w:drawing>
          </mc:Choice>
          <mc:Fallback>
            <w:pict>
              <v:rect fillcolor="#FFFFFF" style="position:absolute;rotation:0;width:447.55pt;height:272.15pt;mso-wrap-distance-left:9.05pt;mso-wrap-distance-right:9.05pt;mso-wrap-distance-top:0pt;mso-wrap-distance-bottom:9.05pt;margin-top:0pt;mso-position-vertical:top;mso-position-vertical-relative:margin;margin-left:10.1pt;mso-position-horizontal:center;mso-position-horizontal-relative:margin">
                <v:fill opacity="0f"/>
                <v:textbox>
                  <w:txbxContent>
                    <w:p>
                      <w:pPr>
                        <w:pStyle w:val="Plaatsingfiguur"/>
                        <w:rPr>
                          <w:rStyle w:val="Buffer"/>
                        </w:rPr>
                      </w:pPr>
                      <w:r>
                        <w:rPr>
                          <w:rStyle w:val="Buffer"/>
                        </w:rPr>
                        <w:drawing>
                          <wp:inline distT="0" distB="0" distL="0" distR="0">
                            <wp:extent cx="3366135" cy="306260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rcRect l="-14" t="-16" r="-14" b="-16"/>
                                    <a:stretch>
                                      <a:fillRect/>
                                    </a:stretch>
                                  </pic:blipFill>
                                  <pic:spPr bwMode="auto">
                                    <a:xfrm>
                                      <a:off x="0" y="0"/>
                                      <a:ext cx="3366135" cy="306260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69" w:name="_Ref426430240"/>
                      <w:r>
                        <w:rPr>
                          <w:rStyle w:val="Buffer"/>
                        </w:rPr>
                        <w:t>F</w:t>
                      </w:r>
                      <w:r>
                        <w:rPr/>
                        <w:t xml:space="preserve">igure </w:t>
                      </w:r>
                      <w:r>
                        <w:fldChar w:fldCharType="begin"/>
                      </w:r>
                      <w:r>
                        <w:rPr/>
                        <w:instrText> STYLEREF 1 \s </w:instrText>
                      </w:r>
                      <w:r>
                        <w:rPr/>
                        <w:fldChar w:fldCharType="separate"/>
                      </w:r>
                      <w:bookmarkStart w:id="70" w:name="__Fieldmark__33_4042815248"/>
                      <w:r>
                        <w:rPr>
                          <w:lang w:val="en-US"/>
                        </w:rPr>
                        <w:t>4</w:t>
                      </w:r>
                      <w:r>
                        <w:rPr>
                          <w:lang w:val="en-US"/>
                        </w:rPr>
                      </w:r>
                      <w:r>
                        <w:rPr/>
                        <w:fldChar w:fldCharType="end"/>
                      </w:r>
                      <w:bookmarkEnd w:id="70"/>
                      <w:r>
                        <w:rPr/>
                        <w:t>–</w:t>
                      </w:r>
                      <w:r>
                        <w:rPr/>
                        <w:fldChar w:fldCharType="begin"/>
                      </w:r>
                      <w:r>
                        <w:rPr/>
                        <w:instrText> SEQ Figure \* ARABIC </w:instrText>
                      </w:r>
                      <w:r>
                        <w:rPr/>
                        <w:fldChar w:fldCharType="separate"/>
                      </w:r>
                      <w:r>
                        <w:rPr/>
                        <w:t>7</w:t>
                      </w:r>
                      <w:r>
                        <w:rPr/>
                        <w:fldChar w:fldCharType="end"/>
                      </w:r>
                      <w:bookmarkEnd w:id="69"/>
                      <w:r>
                        <w:rPr/>
                        <w:t xml:space="preserve">. The 30% equal probability ellipse (inner ellipse) and the 95% equal probability ellipse (outer ellipse) for the </w:t>
                      </w:r>
                      <w:r>
                        <w:rPr>
                          <w:rStyle w:val="Nietafbreken"/>
                        </w:rPr>
                        <w:t>OLVGbe</w:t>
                      </w:r>
                      <w:r>
                        <w:rPr/>
                        <w:t xml:space="preserve"> data set</w:t>
                      </w:r>
                    </w:p>
                  </w:txbxContent>
                </v:textbox>
                <w10:wrap type="topAndBottom"/>
              </v:rect>
            </w:pict>
          </mc:Fallback>
        </mc:AlternateContent>
      </w:r>
    </w:p>
    <w:p>
      <w:pPr>
        <w:pStyle w:val="Normal"/>
        <w:rPr/>
      </w:pPr>
      <w:r>
        <w:rPr/>
        <w:t xml:space="preserve">In his thesis, Naus </w:t>
      </w:r>
      <w:r>
        <w:fldChar w:fldCharType="begin"/>
      </w:r>
      <w:r>
        <w:rPr/>
        <w:instrText> ADDIN ENRf8 _x0001_</w:instrText>
      </w:r>
      <w:r>
        <w:rPr/>
        <w:fldChar w:fldCharType="separate"/>
      </w:r>
      <w:bookmarkStart w:id="71" w:name="__Fieldmark__36_4042815248"/>
      <w:r>
        <w:rPr/>
        <w:t>[12]</w:t>
      </w:r>
      <w:r>
        <w:rPr/>
      </w:r>
      <w:r>
        <w:rPr/>
        <w:fldChar w:fldCharType="end"/>
      </w:r>
      <w:bookmarkEnd w:id="71"/>
      <w:r>
        <w:rPr/>
        <w:t xml:space="preserve"> compared 5 different methods to define valid reference intervals from unselected univariate patient data distributions: the method of Hoffman, Neuman, Pryce, Becktel and Bhattacharya. It was shown that the Bhattacharya method was superior in terms of ease of use and reliability. The essence of the Bhattacharya method is that it determines the Gaussian component (if present) in an unselected univariate reference distribution of patient data. The method starts by dividing a frequency distribution into a number of equally spaced classes. If a Gaussian component is present, plotting the logarithm of the ratio of the frequencies in two subsequent classes against the midpoint of the first class results in a straight line (y = ax + b) somewhere in the graph. The estimated mean (</w:t>
      </w:r>
      <w:r>
        <w:rPr>
          <w:i/>
        </w:rPr>
        <w:t>m</w:t>
      </w:r>
      <w:r>
        <w:rPr/>
        <w:t>) and variance (</w:t>
      </w:r>
      <w:r>
        <w:rPr>
          <w:rStyle w:val="Dkwadraat"/>
          <w:i/>
        </w:rPr>
        <w:t>s</w:t>
      </w:r>
      <w:r>
        <w:rPr>
          <w:rStyle w:val="Dkwadraat"/>
          <w:vertAlign w:val="superscript"/>
        </w:rPr>
        <w:t>2</w:t>
      </w:r>
      <w:r>
        <w:rPr/>
        <w:t>) of the Gaussian component are then calculated respectively as -b/a+0.5h and -h/a-</w:t>
      </w:r>
      <w:r>
        <w:rPr>
          <w:rStyle w:val="Dkwadraat"/>
        </w:rPr>
        <w:t>h</w:t>
      </w:r>
      <w:r>
        <w:rPr>
          <w:rStyle w:val="Dkwadraat"/>
          <w:vertAlign w:val="superscript"/>
        </w:rPr>
        <w:t>2</w:t>
      </w:r>
      <w:r>
        <w:rPr/>
        <w:t xml:space="preserve">/12 (with h being the width of classes) </w:t>
      </w:r>
      <w:r>
        <w:fldChar w:fldCharType="begin"/>
      </w:r>
      <w:r>
        <w:rPr/>
        <w:instrText> ADDIN ENRf8 _x0001_</w:instrText>
      </w:r>
      <w:r>
        <w:rPr/>
        <w:fldChar w:fldCharType="separate"/>
      </w:r>
      <w:bookmarkStart w:id="72" w:name="__Fieldmark__37_4042815248"/>
      <w:r>
        <w:rPr/>
        <w:t>[29]</w:t>
      </w:r>
      <w:r>
        <w:rPr/>
      </w:r>
      <w:r>
        <w:rPr/>
        <w:fldChar w:fldCharType="end"/>
      </w:r>
      <w:bookmarkEnd w:id="72"/>
      <w:r>
        <w:rPr/>
        <w:t>. For a detailed description of the Bhattacharya method the reader is referred to the thesis of Naus.</w:t>
      </w:r>
      <w:r>
        <mc:AlternateContent>
          <mc:Choice Requires="wps">
            <w:drawing>
              <wp:anchor behindDoc="0" distT="0" distB="114935" distL="114935" distR="114935" simplePos="0" locked="0" layoutInCell="1" allowOverlap="1" relativeHeight="21">
                <wp:simplePos x="0" y="0"/>
                <wp:positionH relativeFrom="margin">
                  <wp:align>center</wp:align>
                </wp:positionH>
                <wp:positionV relativeFrom="margin">
                  <wp:align>top</wp:align>
                </wp:positionV>
                <wp:extent cx="5683885" cy="3492500"/>
                <wp:effectExtent l="0" t="0" r="0" b="0"/>
                <wp:wrapTopAndBottom/>
                <wp:docPr id="26" name="Frame12"/>
                <a:graphic xmlns:a="http://schemas.openxmlformats.org/drawingml/2006/main">
                  <a:graphicData uri="http://schemas.microsoft.com/office/word/2010/wordprocessingShape">
                    <wps:wsp>
                      <wps:cNvSpPr txBox="1"/>
                      <wps:spPr>
                        <a:xfrm>
                          <a:off x="0" y="0"/>
                          <a:ext cx="5683885" cy="3492500"/>
                        </a:xfrm>
                        <a:prstGeom prst="rect"/>
                        <a:solidFill>
                          <a:srgbClr val="FFFFFF">
                            <a:alpha val="0"/>
                          </a:srgbClr>
                        </a:solidFill>
                      </wps:spPr>
                      <wps:txbx>
                        <w:txbxContent>
                          <w:p>
                            <w:pPr>
                              <w:pStyle w:val="Plaatsingfiguur"/>
                              <w:rPr>
                                <w:rStyle w:val="Buffer"/>
                              </w:rPr>
                            </w:pPr>
                            <w:r>
                              <w:rPr>
                                <w:rStyle w:val="Buffer"/>
                              </w:rPr>
                              <w:drawing>
                                <wp:inline distT="0" distB="0" distL="0" distR="0">
                                  <wp:extent cx="3365500" cy="309880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9"/>
                                          <a:srcRect l="-15" t="-16" r="-15" b="-16"/>
                                          <a:stretch>
                                            <a:fillRect/>
                                          </a:stretch>
                                        </pic:blipFill>
                                        <pic:spPr bwMode="auto">
                                          <a:xfrm>
                                            <a:off x="0" y="0"/>
                                            <a:ext cx="3365500" cy="30988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73" w:name="_Ref426430264"/>
                            <w:r>
                              <w:rPr>
                                <w:rStyle w:val="Buffer"/>
                              </w:rPr>
                              <w:t>F</w:t>
                            </w:r>
                            <w:r>
                              <w:rPr/>
                              <w:t xml:space="preserve">igure </w:t>
                            </w:r>
                            <w:r>
                              <w:fldChar w:fldCharType="begin"/>
                            </w:r>
                            <w:r>
                              <w:rPr/>
                              <w:instrText> STYLEREF 1 \s </w:instrText>
                            </w:r>
                            <w:r>
                              <w:rPr/>
                              <w:fldChar w:fldCharType="separate"/>
                            </w:r>
                            <w:bookmarkStart w:id="74" w:name="__Fieldmark__35_4042815248"/>
                            <w:r>
                              <w:rPr>
                                <w:lang w:val="en-US"/>
                              </w:rPr>
                              <w:t>4</w:t>
                            </w:r>
                            <w:r>
                              <w:rPr>
                                <w:lang w:val="en-US"/>
                              </w:rPr>
                            </w:r>
                            <w:r>
                              <w:rPr/>
                              <w:fldChar w:fldCharType="end"/>
                            </w:r>
                            <w:bookmarkEnd w:id="74"/>
                            <w:r>
                              <w:rPr/>
                              <w:t>–</w:t>
                            </w:r>
                            <w:r>
                              <w:rPr/>
                              <w:fldChar w:fldCharType="begin"/>
                            </w:r>
                            <w:r>
                              <w:rPr/>
                              <w:instrText> SEQ Figure \* ARABIC </w:instrText>
                            </w:r>
                            <w:r>
                              <w:rPr/>
                              <w:fldChar w:fldCharType="separate"/>
                            </w:r>
                            <w:r>
                              <w:rPr/>
                              <w:t>8</w:t>
                            </w:r>
                            <w:r>
                              <w:rPr/>
                              <w:fldChar w:fldCharType="end"/>
                            </w:r>
                            <w:bookmarkEnd w:id="73"/>
                            <w:r>
                              <w:rPr/>
                              <w:t xml:space="preserve">. The 30% equal probability ellipse (inner ellipse) and the 95% equal probability ellipse (outer ellipse) for the </w:t>
                            </w:r>
                            <w:r>
                              <w:rPr>
                                <w:rStyle w:val="Nietafbreken"/>
                              </w:rPr>
                              <w:t>AZRbe</w:t>
                            </w:r>
                            <w:r>
                              <w:rPr/>
                              <w:t xml:space="preserve"> data set.</w:t>
                            </w:r>
                          </w:p>
                        </w:txbxContent>
                      </wps:txbx>
                      <wps:bodyPr anchor="t" lIns="0" tIns="0" rIns="0" bIns="0">
                        <a:noAutofit/>
                      </wps:bodyPr>
                    </wps:wsp>
                  </a:graphicData>
                </a:graphic>
              </wp:anchor>
            </w:drawing>
          </mc:Choice>
          <mc:Fallback>
            <w:pict>
              <v:rect fillcolor="#FFFFFF" style="position:absolute;rotation:0;width:447.55pt;height:275pt;mso-wrap-distance-left:9.05pt;mso-wrap-distance-right:9.05pt;mso-wrap-distance-top:0pt;mso-wrap-distance-bottom:9.05pt;margin-top:0pt;mso-position-vertical:top;mso-position-vertical-relative:margin;margin-left:10.1pt;mso-position-horizontal:center;mso-position-horizontal-relative:margin">
                <v:fill opacity="0f"/>
                <v:textbox>
                  <w:txbxContent>
                    <w:p>
                      <w:pPr>
                        <w:pStyle w:val="Plaatsingfiguur"/>
                        <w:rPr>
                          <w:rStyle w:val="Buffer"/>
                        </w:rPr>
                      </w:pPr>
                      <w:r>
                        <w:rPr>
                          <w:rStyle w:val="Buffer"/>
                        </w:rPr>
                        <w:drawing>
                          <wp:inline distT="0" distB="0" distL="0" distR="0">
                            <wp:extent cx="3365500" cy="309880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9"/>
                                    <a:srcRect l="-15" t="-16" r="-15" b="-16"/>
                                    <a:stretch>
                                      <a:fillRect/>
                                    </a:stretch>
                                  </pic:blipFill>
                                  <pic:spPr bwMode="auto">
                                    <a:xfrm>
                                      <a:off x="0" y="0"/>
                                      <a:ext cx="3365500" cy="30988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75" w:name="_Ref426430264"/>
                      <w:r>
                        <w:rPr>
                          <w:rStyle w:val="Buffer"/>
                        </w:rPr>
                        <w:t>F</w:t>
                      </w:r>
                      <w:r>
                        <w:rPr/>
                        <w:t xml:space="preserve">igure </w:t>
                      </w:r>
                      <w:r>
                        <w:fldChar w:fldCharType="begin"/>
                      </w:r>
                      <w:r>
                        <w:rPr/>
                        <w:instrText> STYLEREF 1 \s </w:instrText>
                      </w:r>
                      <w:r>
                        <w:rPr/>
                        <w:fldChar w:fldCharType="separate"/>
                      </w:r>
                      <w:bookmarkStart w:id="76" w:name="__Fieldmark__35_4042815248"/>
                      <w:r>
                        <w:rPr>
                          <w:lang w:val="en-US"/>
                        </w:rPr>
                        <w:t>4</w:t>
                      </w:r>
                      <w:r>
                        <w:rPr>
                          <w:lang w:val="en-US"/>
                        </w:rPr>
                      </w:r>
                      <w:r>
                        <w:rPr/>
                        <w:fldChar w:fldCharType="end"/>
                      </w:r>
                      <w:bookmarkEnd w:id="76"/>
                      <w:r>
                        <w:rPr/>
                        <w:t>–</w:t>
                      </w:r>
                      <w:r>
                        <w:rPr/>
                        <w:fldChar w:fldCharType="begin"/>
                      </w:r>
                      <w:r>
                        <w:rPr/>
                        <w:instrText> SEQ Figure \* ARABIC </w:instrText>
                      </w:r>
                      <w:r>
                        <w:rPr/>
                        <w:fldChar w:fldCharType="separate"/>
                      </w:r>
                      <w:r>
                        <w:rPr/>
                        <w:t>8</w:t>
                      </w:r>
                      <w:r>
                        <w:rPr/>
                        <w:fldChar w:fldCharType="end"/>
                      </w:r>
                      <w:bookmarkEnd w:id="75"/>
                      <w:r>
                        <w:rPr/>
                        <w:t xml:space="preserve">. The 30% equal probability ellipse (inner ellipse) and the 95% equal probability ellipse (outer ellipse) for the </w:t>
                      </w:r>
                      <w:r>
                        <w:rPr>
                          <w:rStyle w:val="Nietafbreken"/>
                        </w:rPr>
                        <w:t>AZRbe</w:t>
                      </w:r>
                      <w:r>
                        <w:rPr/>
                        <w:t xml:space="preserve"> data set.</w:t>
                      </w:r>
                    </w:p>
                  </w:txbxContent>
                </v:textbox>
                <w10:wrap type="topAndBottom"/>
              </v:rect>
            </w:pict>
          </mc:Fallback>
        </mc:AlternateContent>
      </w:r>
    </w:p>
    <w:p>
      <w:pPr>
        <w:pStyle w:val="Normal"/>
        <w:rPr/>
      </w:pPr>
      <w:r>
        <w:rPr/>
        <w:t xml:space="preserve">Baadenhuisen and Smit </w:t>
      </w:r>
      <w:r>
        <w:fldChar w:fldCharType="begin"/>
      </w:r>
      <w:r>
        <w:rPr/>
        <w:instrText> ADDIN ENRf8 _x0001_</w:instrText>
      </w:r>
      <w:r>
        <w:rPr/>
        <w:fldChar w:fldCharType="separate"/>
      </w:r>
      <w:bookmarkStart w:id="77" w:name="__Fieldmark__38_4042815248"/>
      <w:r>
        <w:rPr/>
        <w:t>[28]</w:t>
      </w:r>
      <w:r>
        <w:rPr/>
      </w:r>
      <w:r>
        <w:rPr/>
        <w:fldChar w:fldCharType="end"/>
      </w:r>
      <w:bookmarkEnd w:id="77"/>
      <w:r>
        <w:rPr/>
        <w:t xml:space="preserve"> used a modified Bhattacharya procedure to determine reference intervals for univariate unselected and skewed distributions. Oosterhuis </w:t>
      </w:r>
      <w:r>
        <w:fldChar w:fldCharType="begin"/>
      </w:r>
      <w:r>
        <w:rPr/>
        <w:instrText> ADDIN ENRf8 _x0001_</w:instrText>
      </w:r>
      <w:r>
        <w:rPr/>
        <w:fldChar w:fldCharType="separate"/>
      </w:r>
      <w:bookmarkStart w:id="78" w:name="__Fieldmark__39_4042815248"/>
      <w:r>
        <w:rPr/>
        <w:t>[29]</w:t>
      </w:r>
      <w:r>
        <w:rPr/>
      </w:r>
      <w:r>
        <w:rPr/>
        <w:fldChar w:fldCharType="end"/>
      </w:r>
      <w:bookmarkEnd w:id="78"/>
      <w:r>
        <w:rPr/>
        <w:t xml:space="preserve"> compared the Bhattacharya method for defining univariate reference intervals with the method proposed by the IFCC, which involves the evaluation of data from blood donor populations. Naus </w:t>
      </w:r>
      <w:r>
        <w:rPr>
          <w:i/>
        </w:rPr>
        <w:t>et al.</w:t>
      </w:r>
      <w:r>
        <w:rPr/>
        <w:t xml:space="preserve"> </w:t>
      </w:r>
      <w:r>
        <w:fldChar w:fldCharType="begin"/>
      </w:r>
      <w:r>
        <w:rPr/>
        <w:instrText> ADDIN ENRf8 _x0001_</w:instrText>
      </w:r>
      <w:r>
        <w:rPr/>
        <w:fldChar w:fldCharType="separate"/>
      </w:r>
      <w:bookmarkStart w:id="79" w:name="__Fieldmark__40_4042815248"/>
      <w:r>
        <w:rPr/>
        <w:t>[30]</w:t>
      </w:r>
      <w:r>
        <w:rPr/>
      </w:r>
      <w:r>
        <w:rPr/>
        <w:fldChar w:fldCharType="end"/>
      </w:r>
      <w:bookmarkEnd w:id="79"/>
      <w:r>
        <w:rPr/>
        <w:t xml:space="preserve"> used the Bhattacharya method for the determination of reference intervals for a number of haematological parameters.</w:t>
      </w:r>
    </w:p>
    <w:p>
      <w:pPr>
        <w:pStyle w:val="Normal"/>
        <w:rPr/>
      </w:pPr>
      <w:r>
        <w:rPr/>
        <w:t xml:space="preserve">Naus also used the Bhattacharya method for the determination of a normal bivariate reference region from patient data for the combination of total protein and albumin </w:t>
      </w:r>
      <w:r>
        <w:fldChar w:fldCharType="begin"/>
      </w:r>
      <w:r>
        <w:rPr/>
        <w:instrText> ADDIN ENRf8 _x0001_</w:instrText>
      </w:r>
      <w:r>
        <w:rPr/>
        <w:fldChar w:fldCharType="separate"/>
      </w:r>
      <w:bookmarkStart w:id="80" w:name="__Fieldmark__41_4042815248"/>
      <w:r>
        <w:rPr/>
        <w:t>[31]</w:t>
      </w:r>
      <w:r>
        <w:rPr/>
      </w:r>
      <w:r>
        <w:rPr/>
        <w:fldChar w:fldCharType="end"/>
      </w:r>
      <w:bookmarkEnd w:id="80"/>
      <w:r>
        <w:rPr/>
        <w:t xml:space="preserve">. His approach starts with calculating the means and variances for the two marginal distributions using the Bhattacharya method. Then, the covariance between both variables (hereafter called x and y) are determined as </w:t>
      </w:r>
      <w:r>
        <w:rPr>
          <w:rStyle w:val="Nietafbreken"/>
          <w:i/>
        </w:rPr>
        <w:t>(</w:t>
      </w:r>
      <w:r>
        <w:rPr>
          <w:rStyle w:val="Dkwadraat"/>
          <w:i/>
        </w:rPr>
        <w:t>s</w:t>
      </w:r>
      <w:r>
        <w:rPr>
          <w:rStyle w:val="Dkwadraat"/>
          <w:vertAlign w:val="superscript"/>
        </w:rPr>
        <w:t>2</w:t>
      </w:r>
      <w:r>
        <w:rPr>
          <w:rStyle w:val="Nietafbreken"/>
          <w:i/>
        </w:rPr>
        <w:t>sum – </w:t>
      </w:r>
      <w:r>
        <w:rPr>
          <w:rStyle w:val="Dkwadraat"/>
          <w:i/>
        </w:rPr>
        <w:t>s</w:t>
      </w:r>
      <w:r>
        <w:rPr>
          <w:rStyle w:val="Dkwadraat"/>
          <w:vertAlign w:val="superscript"/>
        </w:rPr>
        <w:t>2</w:t>
      </w:r>
      <w:r>
        <w:rPr>
          <w:rStyle w:val="Nietafbreken"/>
          <w:i/>
        </w:rPr>
        <w:t>dif) / 4</w:t>
      </w:r>
      <w:r>
        <w:rPr/>
        <w:t xml:space="preserve">. The term </w:t>
      </w:r>
      <w:r>
        <w:rPr>
          <w:rStyle w:val="Dkwadraat"/>
          <w:i/>
        </w:rPr>
        <w:t>s</w:t>
      </w:r>
      <w:r>
        <w:rPr>
          <w:rStyle w:val="Dkwadraat"/>
          <w:vertAlign w:val="superscript"/>
        </w:rPr>
        <w:t>2</w:t>
      </w:r>
      <w:r>
        <w:rPr>
          <w:rStyle w:val="Nietafbreken"/>
          <w:i/>
        </w:rPr>
        <w:t>sum</w:t>
      </w:r>
      <w:r>
        <w:rPr/>
        <w:t xml:space="preserve"> is the variance of the distribution of the sums of x and y, determined with the Bhattacharya method. The term </w:t>
      </w:r>
      <w:r>
        <w:rPr>
          <w:rStyle w:val="Dkwadraat"/>
          <w:i/>
        </w:rPr>
        <w:t>s</w:t>
      </w:r>
      <w:r>
        <w:rPr>
          <w:rStyle w:val="Dkwadraat"/>
          <w:vertAlign w:val="superscript"/>
        </w:rPr>
        <w:t>2</w:t>
      </w:r>
      <w:r>
        <w:rPr>
          <w:rStyle w:val="Nietafbreken"/>
          <w:i/>
        </w:rPr>
        <w:t xml:space="preserve">dif </w:t>
      </w:r>
      <w:r>
        <w:rPr/>
        <w:t>is the variance of the distribution of the differences of x and y, determined with the Bhattacharya method. The resulting variance-covariance matrix (constructed with the aid of the Bhattacharya method) and the mean values are then used as the background model parameters to calculate bivariate reference regions.</w:t>
      </w:r>
    </w:p>
    <w:p>
      <w:pPr>
        <w:pStyle w:val="Normal"/>
        <w:rPr/>
      </w:pPr>
      <w:r>
        <w:rPr/>
        <w:t xml:space="preserve">Major shortcomings of Naus’ method for defining multivariate normal reference regions from patient data are: 1) it cannot be used in situations where the Bhattacharya method fails to detect a Gaussian component in one or more marginal distributions; 2) the marginal distributions being Gaussian does not automatically imply that the joint distribution is also Gaussian; 3) computation time increases dramatically when the number of included variables increases; 4) the Bhattacharya method generally requires a substantial number of cases to be reliable </w:t>
      </w:r>
      <w:r>
        <w:fldChar w:fldCharType="begin"/>
      </w:r>
      <w:r>
        <w:rPr/>
        <w:instrText> ADDIN ENRf8 _x0001_</w:instrText>
      </w:r>
      <w:r>
        <w:rPr/>
        <w:fldChar w:fldCharType="separate"/>
      </w:r>
      <w:bookmarkStart w:id="81" w:name="__Fieldmark__43_4042815248"/>
      <w:r>
        <w:rPr/>
        <w:t>[12]</w:t>
      </w:r>
      <w:r>
        <w:rPr/>
      </w:r>
      <w:r>
        <w:rPr/>
        <w:fldChar w:fldCharType="end"/>
      </w:r>
      <w:bookmarkEnd w:id="81"/>
      <w:r>
        <w:rPr/>
        <w:t>.</w:t>
      </w:r>
      <w:r>
        <mc:AlternateContent>
          <mc:Choice Requires="wps">
            <w:drawing>
              <wp:anchor behindDoc="0" distT="0" distB="114935" distL="114935" distR="114935" simplePos="0" locked="0" layoutInCell="1" allowOverlap="1" relativeHeight="23">
                <wp:simplePos x="0" y="0"/>
                <wp:positionH relativeFrom="margin">
                  <wp:align>center</wp:align>
                </wp:positionH>
                <wp:positionV relativeFrom="margin">
                  <wp:align>top</wp:align>
                </wp:positionV>
                <wp:extent cx="5683885" cy="3441700"/>
                <wp:effectExtent l="0" t="0" r="0" b="0"/>
                <wp:wrapTopAndBottom/>
                <wp:docPr id="29" name="Frame13"/>
                <a:graphic xmlns:a="http://schemas.openxmlformats.org/drawingml/2006/main">
                  <a:graphicData uri="http://schemas.microsoft.com/office/word/2010/wordprocessingShape">
                    <wps:wsp>
                      <wps:cNvSpPr txBox="1"/>
                      <wps:spPr>
                        <a:xfrm>
                          <a:off x="0" y="0"/>
                          <a:ext cx="5683885" cy="3441700"/>
                        </a:xfrm>
                        <a:prstGeom prst="rect"/>
                        <a:solidFill>
                          <a:srgbClr val="FFFFFF">
                            <a:alpha val="0"/>
                          </a:srgbClr>
                        </a:solidFill>
                      </wps:spPr>
                      <wps:txbx>
                        <w:txbxContent>
                          <w:p>
                            <w:pPr>
                              <w:pStyle w:val="Plaatsingfiguur"/>
                              <w:rPr>
                                <w:rStyle w:val="Buffer"/>
                              </w:rPr>
                            </w:pPr>
                            <w:r>
                              <w:rPr>
                                <w:rStyle w:val="Buffer"/>
                              </w:rPr>
                              <w:drawing>
                                <wp:inline distT="0" distB="0" distL="0" distR="0">
                                  <wp:extent cx="4508500" cy="304800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0"/>
                                          <a:srcRect l="-11" t="-16" r="-11" b="-16"/>
                                          <a:stretch>
                                            <a:fillRect/>
                                          </a:stretch>
                                        </pic:blipFill>
                                        <pic:spPr bwMode="auto">
                                          <a:xfrm>
                                            <a:off x="0" y="0"/>
                                            <a:ext cx="4508500" cy="30480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82" w:name="_Ref426430300"/>
                            <w:r>
                              <w:rPr>
                                <w:rStyle w:val="Buffer"/>
                              </w:rPr>
                              <w:t>F</w:t>
                            </w:r>
                            <w:r>
                              <w:rPr/>
                              <w:t xml:space="preserve">igure </w:t>
                            </w:r>
                            <w:r>
                              <w:fldChar w:fldCharType="begin"/>
                            </w:r>
                            <w:r>
                              <w:rPr/>
                              <w:instrText> STYLEREF 1 \s </w:instrText>
                            </w:r>
                            <w:r>
                              <w:rPr/>
                              <w:fldChar w:fldCharType="separate"/>
                            </w:r>
                            <w:bookmarkStart w:id="83" w:name="__Fieldmark__42_4042815248"/>
                            <w:r>
                              <w:rPr>
                                <w:lang w:val="en-US"/>
                              </w:rPr>
                              <w:t>4</w:t>
                            </w:r>
                            <w:r>
                              <w:rPr>
                                <w:lang w:val="en-US"/>
                              </w:rPr>
                            </w:r>
                            <w:r>
                              <w:rPr/>
                              <w:fldChar w:fldCharType="end"/>
                            </w:r>
                            <w:bookmarkEnd w:id="83"/>
                            <w:r>
                              <w:rPr/>
                              <w:t>–</w:t>
                            </w:r>
                            <w:r>
                              <w:rPr/>
                              <w:fldChar w:fldCharType="begin"/>
                            </w:r>
                            <w:r>
                              <w:rPr/>
                              <w:instrText> SEQ Figure \* ARABIC </w:instrText>
                            </w:r>
                            <w:r>
                              <w:rPr/>
                              <w:fldChar w:fldCharType="separate"/>
                            </w:r>
                            <w:r>
                              <w:rPr/>
                              <w:t>9</w:t>
                            </w:r>
                            <w:r>
                              <w:rPr/>
                              <w:fldChar w:fldCharType="end"/>
                            </w:r>
                            <w:bookmarkEnd w:id="82"/>
                            <w:r>
                              <w:rPr/>
                              <w:t xml:space="preserve">. The 30% equal probability ellipse (inner ellipse) and the 95% equal probability ellipse (outer ellipse) for the </w:t>
                            </w:r>
                            <w:r>
                              <w:rPr>
                                <w:rStyle w:val="Nietafbreken"/>
                                <w:lang w:val="en-GB"/>
                              </w:rPr>
                              <w:t>SKZbe</w:t>
                            </w:r>
                            <w:r>
                              <w:rPr/>
                              <w:t xml:space="preserve"> data set.</w:t>
                            </w:r>
                          </w:p>
                        </w:txbxContent>
                      </wps:txbx>
                      <wps:bodyPr anchor="t" lIns="0" tIns="0" rIns="0" bIns="0">
                        <a:noAutofit/>
                      </wps:bodyPr>
                    </wps:wsp>
                  </a:graphicData>
                </a:graphic>
              </wp:anchor>
            </w:drawing>
          </mc:Choice>
          <mc:Fallback>
            <w:pict>
              <v:rect fillcolor="#FFFFFF" style="position:absolute;rotation:0;width:447.55pt;height:271pt;mso-wrap-distance-left:9.05pt;mso-wrap-distance-right:9.05pt;mso-wrap-distance-top:0pt;mso-wrap-distance-bottom:9.05pt;margin-top:0pt;mso-position-vertical:top;mso-position-vertical-relative:margin;margin-left:10.1pt;mso-position-horizontal:center;mso-position-horizontal-relative:margin">
                <v:fill opacity="0f"/>
                <v:textbox>
                  <w:txbxContent>
                    <w:p>
                      <w:pPr>
                        <w:pStyle w:val="Plaatsingfiguur"/>
                        <w:rPr>
                          <w:rStyle w:val="Buffer"/>
                        </w:rPr>
                      </w:pPr>
                      <w:r>
                        <w:rPr>
                          <w:rStyle w:val="Buffer"/>
                        </w:rPr>
                        <w:drawing>
                          <wp:inline distT="0" distB="0" distL="0" distR="0">
                            <wp:extent cx="4508500" cy="304800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0"/>
                                    <a:srcRect l="-11" t="-16" r="-11" b="-16"/>
                                    <a:stretch>
                                      <a:fillRect/>
                                    </a:stretch>
                                  </pic:blipFill>
                                  <pic:spPr bwMode="auto">
                                    <a:xfrm>
                                      <a:off x="0" y="0"/>
                                      <a:ext cx="4508500" cy="30480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84" w:name="_Ref426430300"/>
                      <w:r>
                        <w:rPr>
                          <w:rStyle w:val="Buffer"/>
                        </w:rPr>
                        <w:t>F</w:t>
                      </w:r>
                      <w:r>
                        <w:rPr/>
                        <w:t xml:space="preserve">igure </w:t>
                      </w:r>
                      <w:r>
                        <w:fldChar w:fldCharType="begin"/>
                      </w:r>
                      <w:r>
                        <w:rPr/>
                        <w:instrText> STYLEREF 1 \s </w:instrText>
                      </w:r>
                      <w:r>
                        <w:rPr/>
                        <w:fldChar w:fldCharType="separate"/>
                      </w:r>
                      <w:bookmarkStart w:id="85" w:name="__Fieldmark__42_4042815248"/>
                      <w:r>
                        <w:rPr>
                          <w:lang w:val="en-US"/>
                        </w:rPr>
                        <w:t>4</w:t>
                      </w:r>
                      <w:r>
                        <w:rPr>
                          <w:lang w:val="en-US"/>
                        </w:rPr>
                      </w:r>
                      <w:r>
                        <w:rPr/>
                        <w:fldChar w:fldCharType="end"/>
                      </w:r>
                      <w:bookmarkEnd w:id="85"/>
                      <w:r>
                        <w:rPr/>
                        <w:t>–</w:t>
                      </w:r>
                      <w:r>
                        <w:rPr/>
                        <w:fldChar w:fldCharType="begin"/>
                      </w:r>
                      <w:r>
                        <w:rPr/>
                        <w:instrText> SEQ Figure \* ARABIC </w:instrText>
                      </w:r>
                      <w:r>
                        <w:rPr/>
                        <w:fldChar w:fldCharType="separate"/>
                      </w:r>
                      <w:r>
                        <w:rPr/>
                        <w:t>9</w:t>
                      </w:r>
                      <w:r>
                        <w:rPr/>
                        <w:fldChar w:fldCharType="end"/>
                      </w:r>
                      <w:bookmarkEnd w:id="84"/>
                      <w:r>
                        <w:rPr/>
                        <w:t xml:space="preserve">. The 30% equal probability ellipse (inner ellipse) and the 95% equal probability ellipse (outer ellipse) for the </w:t>
                      </w:r>
                      <w:r>
                        <w:rPr>
                          <w:rStyle w:val="Nietafbreken"/>
                          <w:lang w:val="en-GB"/>
                        </w:rPr>
                        <w:t>SKZbe</w:t>
                      </w:r>
                      <w:r>
                        <w:rPr/>
                        <w:t xml:space="preserve"> data set.</w:t>
                      </w:r>
                    </w:p>
                  </w:txbxContent>
                </v:textbox>
                <w10:wrap type="topAndBottom"/>
              </v:rect>
            </w:pict>
          </mc:Fallback>
        </mc:AlternateContent>
      </w:r>
    </w:p>
    <w:p>
      <w:pPr>
        <w:pStyle w:val="Normal"/>
        <w:rPr/>
      </w:pPr>
      <w:r>
        <w:rPr/>
        <w:t xml:space="preserve">For the iterative method described in this chapter, the prerequisite of the marginal distributions being Gaussian no longer holds, since the trimming of aberrant observations and the verification of the multivariate Gaussian assumption is performed directly on the joint distribution rather than on the marginal distributions. Furthermore, the proposed method can automatically and straightforwardly be applied to both the univariate and the multivariate case. A special computer program for defining and testing multivariate normal reference models derived from patient data sets as described in this chapter can be found in </w:t>
      </w:r>
      <w:r>
        <w:fldChar w:fldCharType="begin"/>
      </w:r>
      <w:r>
        <w:rPr/>
        <w:instrText> ADDIN ENRf8 _x0001_</w:instrText>
      </w:r>
      <w:r>
        <w:rPr/>
        <w:fldChar w:fldCharType="separate"/>
      </w:r>
      <w:bookmarkStart w:id="86" w:name="__Fieldmark__44_4042815248"/>
      <w:r>
        <w:rPr/>
        <w:t>[32]</w:t>
      </w:r>
      <w:r>
        <w:rPr/>
      </w:r>
      <w:r>
        <w:rPr/>
        <w:fldChar w:fldCharType="end"/>
      </w:r>
      <w:bookmarkEnd w:id="86"/>
      <w:r>
        <w:rPr/>
        <w:t>.</w:t>
      </w:r>
    </w:p>
    <w:p>
      <w:pPr>
        <w:pStyle w:val="Normal"/>
        <w:rPr/>
      </w:pPr>
      <w:r>
        <w:rPr/>
        <w:t>In the discussion about the usefulness of the proposed bivariate reference models for arterial acid-base data in an intensive care setting, two central questions arise. First, what is the clinical value of reference models that are based on patient data rather than on healthy reference populations? Second, what is the clinical value of using a multivariate reference model as compared to using the classical univariate reference intervals?</w:t>
      </w:r>
      <w:r>
        <mc:AlternateContent>
          <mc:Choice Requires="wps">
            <w:drawing>
              <wp:anchor behindDoc="0" distT="0" distB="114935" distL="114935" distR="114935" simplePos="0" locked="0" layoutInCell="1" allowOverlap="1" relativeHeight="25">
                <wp:simplePos x="0" y="0"/>
                <wp:positionH relativeFrom="margin">
                  <wp:align>center</wp:align>
                </wp:positionH>
                <wp:positionV relativeFrom="margin">
                  <wp:align>top</wp:align>
                </wp:positionV>
                <wp:extent cx="5780405" cy="3670300"/>
                <wp:effectExtent l="0" t="0" r="0" b="0"/>
                <wp:wrapTopAndBottom/>
                <wp:docPr id="32" name="Frame14"/>
                <a:graphic xmlns:a="http://schemas.openxmlformats.org/drawingml/2006/main">
                  <a:graphicData uri="http://schemas.microsoft.com/office/word/2010/wordprocessingShape">
                    <wps:wsp>
                      <wps:cNvSpPr txBox="1"/>
                      <wps:spPr>
                        <a:xfrm>
                          <a:off x="0" y="0"/>
                          <a:ext cx="5780405" cy="3670300"/>
                        </a:xfrm>
                        <a:prstGeom prst="rect"/>
                        <a:solidFill>
                          <a:srgbClr val="FFFFFF">
                            <a:alpha val="0"/>
                          </a:srgbClr>
                        </a:solidFill>
                      </wps:spPr>
                      <wps:txbx>
                        <w:txbxContent>
                          <w:p>
                            <w:pPr>
                              <w:pStyle w:val="Plaatsingfiguur"/>
                              <w:rPr>
                                <w:rStyle w:val="Buffer"/>
                              </w:rPr>
                            </w:pPr>
                            <w:r>
                              <w:rPr>
                                <w:rStyle w:val="Buffer"/>
                              </w:rPr>
                              <w:drawing>
                                <wp:inline distT="0" distB="0" distL="0" distR="0">
                                  <wp:extent cx="3187700" cy="327660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11"/>
                                          <a:srcRect l="-16" t="-15" r="-16" b="-15"/>
                                          <a:stretch>
                                            <a:fillRect/>
                                          </a:stretch>
                                        </pic:blipFill>
                                        <pic:spPr bwMode="auto">
                                          <a:xfrm>
                                            <a:off x="0" y="0"/>
                                            <a:ext cx="3187700" cy="32766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87" w:name="_Ref426430391"/>
                            <w:r>
                              <w:rPr>
                                <w:rStyle w:val="Buffer"/>
                              </w:rPr>
                              <w:t>F</w:t>
                            </w:r>
                            <w:r>
                              <w:rPr/>
                              <w:t xml:space="preserve">igure </w:t>
                            </w:r>
                            <w:r>
                              <w:fldChar w:fldCharType="begin"/>
                            </w:r>
                            <w:r>
                              <w:rPr/>
                              <w:instrText> STYLEREF 1 \s </w:instrText>
                            </w:r>
                            <w:r>
                              <w:rPr/>
                              <w:fldChar w:fldCharType="separate"/>
                            </w:r>
                            <w:bookmarkStart w:id="88" w:name="__Fieldmark__45_4042815248"/>
                            <w:r>
                              <w:rPr>
                                <w:lang w:val="en-US"/>
                              </w:rPr>
                              <w:t>4</w:t>
                            </w:r>
                            <w:r>
                              <w:rPr>
                                <w:lang w:val="en-US"/>
                              </w:rPr>
                            </w:r>
                            <w:r>
                              <w:rPr/>
                              <w:fldChar w:fldCharType="end"/>
                            </w:r>
                            <w:bookmarkEnd w:id="88"/>
                            <w:r>
                              <w:rPr/>
                              <w:t>–</w:t>
                            </w:r>
                            <w:r>
                              <w:rPr/>
                              <w:fldChar w:fldCharType="begin"/>
                            </w:r>
                            <w:r>
                              <w:rPr/>
                              <w:instrText> SEQ Figure \* ARABIC </w:instrText>
                            </w:r>
                            <w:r>
                              <w:rPr/>
                              <w:fldChar w:fldCharType="separate"/>
                            </w:r>
                            <w:r>
                              <w:rPr/>
                              <w:t>10</w:t>
                            </w:r>
                            <w:r>
                              <w:rPr/>
                              <w:fldChar w:fldCharType="end"/>
                            </w:r>
                            <w:bookmarkEnd w:id="87"/>
                            <w:r>
                              <w:rPr/>
                              <w:t xml:space="preserve">. The 30% equal probability ellipse (inner ellipse) and the 95% equal probability ellipse (outer ellipse) for the </w:t>
                            </w:r>
                            <w:r>
                              <w:rPr>
                                <w:rStyle w:val="Nietafbreken"/>
                              </w:rPr>
                              <w:t>ELIab</w:t>
                            </w:r>
                            <w:r>
                              <w:rPr/>
                              <w:t xml:space="preserve"> data set.</w:t>
                            </w:r>
                          </w:p>
                        </w:txbxContent>
                      </wps:txbx>
                      <wps:bodyPr anchor="t" lIns="0" tIns="0" rIns="0" bIns="0">
                        <a:noAutofit/>
                      </wps:bodyPr>
                    </wps:wsp>
                  </a:graphicData>
                </a:graphic>
              </wp:anchor>
            </w:drawing>
          </mc:Choice>
          <mc:Fallback>
            <w:pict>
              <v:rect fillcolor="#FFFFFF" style="position:absolute;rotation:0;width:455.15pt;height:289pt;mso-wrap-distance-left:9.05pt;mso-wrap-distance-right:9.05pt;mso-wrap-distance-top:0pt;mso-wrap-distance-bottom:9.05pt;margin-top:0pt;mso-position-vertical:top;mso-position-vertical-relative:margin;margin-left:6.3pt;mso-position-horizontal:center;mso-position-horizontal-relative:margin">
                <v:fill opacity="0f"/>
                <v:textbox>
                  <w:txbxContent>
                    <w:p>
                      <w:pPr>
                        <w:pStyle w:val="Plaatsingfiguur"/>
                        <w:rPr>
                          <w:rStyle w:val="Buffer"/>
                        </w:rPr>
                      </w:pPr>
                      <w:r>
                        <w:rPr>
                          <w:rStyle w:val="Buffer"/>
                        </w:rPr>
                        <w:drawing>
                          <wp:inline distT="0" distB="0" distL="0" distR="0">
                            <wp:extent cx="3187700" cy="3276600"/>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1"/>
                                    <a:srcRect l="-16" t="-15" r="-16" b="-15"/>
                                    <a:stretch>
                                      <a:fillRect/>
                                    </a:stretch>
                                  </pic:blipFill>
                                  <pic:spPr bwMode="auto">
                                    <a:xfrm>
                                      <a:off x="0" y="0"/>
                                      <a:ext cx="3187700" cy="32766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89" w:name="_Ref426430391"/>
                      <w:r>
                        <w:rPr>
                          <w:rStyle w:val="Buffer"/>
                        </w:rPr>
                        <w:t>F</w:t>
                      </w:r>
                      <w:r>
                        <w:rPr/>
                        <w:t xml:space="preserve">igure </w:t>
                      </w:r>
                      <w:r>
                        <w:fldChar w:fldCharType="begin"/>
                      </w:r>
                      <w:r>
                        <w:rPr/>
                        <w:instrText> STYLEREF 1 \s </w:instrText>
                      </w:r>
                      <w:r>
                        <w:rPr/>
                        <w:fldChar w:fldCharType="separate"/>
                      </w:r>
                      <w:bookmarkStart w:id="90" w:name="__Fieldmark__45_4042815248"/>
                      <w:r>
                        <w:rPr>
                          <w:lang w:val="en-US"/>
                        </w:rPr>
                        <w:t>4</w:t>
                      </w:r>
                      <w:r>
                        <w:rPr>
                          <w:lang w:val="en-US"/>
                        </w:rPr>
                      </w:r>
                      <w:r>
                        <w:rPr/>
                        <w:fldChar w:fldCharType="end"/>
                      </w:r>
                      <w:bookmarkEnd w:id="90"/>
                      <w:r>
                        <w:rPr/>
                        <w:t>–</w:t>
                      </w:r>
                      <w:r>
                        <w:rPr/>
                        <w:fldChar w:fldCharType="begin"/>
                      </w:r>
                      <w:r>
                        <w:rPr/>
                        <w:instrText> SEQ Figure \* ARABIC </w:instrText>
                      </w:r>
                      <w:r>
                        <w:rPr/>
                        <w:fldChar w:fldCharType="separate"/>
                      </w:r>
                      <w:r>
                        <w:rPr/>
                        <w:t>10</w:t>
                      </w:r>
                      <w:r>
                        <w:rPr/>
                        <w:fldChar w:fldCharType="end"/>
                      </w:r>
                      <w:bookmarkEnd w:id="89"/>
                      <w:r>
                        <w:rPr/>
                        <w:t xml:space="preserve">. The 30% equal probability ellipse (inner ellipse) and the 95% equal probability ellipse (outer ellipse) for the </w:t>
                      </w:r>
                      <w:r>
                        <w:rPr>
                          <w:rStyle w:val="Nietafbreken"/>
                        </w:rPr>
                        <w:t>ELIab</w:t>
                      </w:r>
                      <w:r>
                        <w:rPr/>
                        <w:t xml:space="preserve"> data set.</w:t>
                      </w:r>
                    </w:p>
                  </w:txbxContent>
                </v:textbox>
                <w10:wrap type="topAndBottom"/>
              </v:rect>
            </w:pict>
          </mc:Fallback>
        </mc:AlternateContent>
      </w:r>
    </w:p>
    <w:p>
      <w:pPr>
        <w:pStyle w:val="Normal"/>
        <w:rPr/>
      </w:pPr>
      <w:r>
        <w:rPr/>
        <w:t xml:space="preserve">Ad 1. What is the clinical value of patient-based reference models? The selection of the reference population is considered the most crucial part in the process of building reference models. In general, reference populations consist of ambulant, subjectively healthy students, laboratory staff, blood donors, etcetera. But are these reference models valid? What is the value of </w:t>
      </w:r>
      <w:r>
        <w:rPr>
          <w:i/>
        </w:rPr>
        <w:t>health</w:t>
      </w:r>
      <w:r>
        <w:rPr/>
        <w:t xml:space="preserve">-associated reference models for specific groups of patients? Much confusion arises about the fact that health is relative </w:t>
      </w:r>
      <w:r>
        <w:fldChar w:fldCharType="begin"/>
      </w:r>
      <w:r>
        <w:rPr/>
        <w:instrText> ADDIN ENRf8 _x0001_</w:instrText>
      </w:r>
      <w:r>
        <w:rPr/>
        <w:fldChar w:fldCharType="separate"/>
      </w:r>
      <w:bookmarkStart w:id="91" w:name="__Fieldmark__46_4042815248"/>
      <w:r>
        <w:rPr/>
        <w:t>[33]</w:t>
      </w:r>
      <w:r>
        <w:rPr/>
      </w:r>
      <w:r>
        <w:rPr/>
        <w:fldChar w:fldCharType="end"/>
      </w:r>
      <w:bookmarkEnd w:id="91"/>
      <w:r>
        <w:rPr/>
        <w:t xml:space="preserve">. A patient can be regarded ill in one respect and healthy in another. Laboratory values found in a person at a young age could indicate health but the same values determined on the same patient at an older age could be indicative of disease. Moreover, the diagnosis of health cannot be based on excluding pathology only </w:t>
      </w:r>
      <w:r>
        <w:fldChar w:fldCharType="begin"/>
      </w:r>
      <w:r>
        <w:rPr/>
        <w:instrText> ADDIN ENRf8 _x0001_</w:instrText>
      </w:r>
      <w:r>
        <w:rPr/>
        <w:fldChar w:fldCharType="separate"/>
      </w:r>
      <w:bookmarkStart w:id="92" w:name="__Fieldmark__47_4042815248"/>
      <w:r>
        <w:rPr/>
        <w:t>[7]</w:t>
      </w:r>
      <w:r>
        <w:rPr/>
      </w:r>
      <w:r>
        <w:rPr/>
        <w:fldChar w:fldCharType="end"/>
      </w:r>
      <w:bookmarkEnd w:id="92"/>
      <w:r>
        <w:rPr/>
        <w:t xml:space="preserve">. If no signs of disease are present, uncertainty remains because these signs could possibly be found on closer examination. As Gräsback defines: </w:t>
      </w:r>
      <w:r>
        <w:rPr>
          <w:i/>
        </w:rPr>
        <w:t xml:space="preserve">Health is characterised by a minimum of subjective feelings and objective signs of disease, assessed in relation to the social situation of the subject and the purpose of the medical activity, and it is in the absolute sense an unattainable ideal state </w:t>
      </w:r>
      <w:r>
        <w:fldChar w:fldCharType="begin"/>
      </w:r>
      <w:r>
        <w:rPr/>
        <w:instrText> ADDIN ENRf8 _x0001_</w:instrText>
      </w:r>
      <w:r>
        <w:rPr/>
        <w:fldChar w:fldCharType="separate"/>
      </w:r>
      <w:bookmarkStart w:id="93" w:name="__Fieldmark__48_4042815248"/>
      <w:r>
        <w:rPr/>
        <w:t>[33]</w:t>
      </w:r>
      <w:r>
        <w:rPr/>
      </w:r>
      <w:r>
        <w:rPr/>
        <w:fldChar w:fldCharType="end"/>
      </w:r>
      <w:bookmarkEnd w:id="93"/>
      <w:r>
        <w:rPr/>
        <w:t xml:space="preserve">. In the light of this definition of health it seems appropriate that reference models should not only be derived from </w:t>
      </w:r>
      <w:r>
        <w:rPr>
          <w:i/>
        </w:rPr>
        <w:t>healthy</w:t>
      </w:r>
      <w:r>
        <w:rPr/>
        <w:t xml:space="preserve"> people but from a diversity of populations to suit a diversity of purposes.</w:t>
      </w:r>
    </w:p>
    <w:p>
      <w:pPr>
        <w:pStyle w:val="Normal"/>
        <w:rPr/>
      </w:pPr>
      <w:r>
        <w:rPr/>
        <w:t>In order to answer the question whether the patient-based bivariate reference region as defined in this chapter could be useful in an intensive care setting, one should first consider the mechanisms that may shape a reference population. One of those mechanisms is the nature of the ICU from which the patient reference population is taken. Arterial acid-base data from a neonatal ICU will be quite different from acid-base data coming from a respiratory ICU for adults. This is illustrated by the reference ellipses that are based on the neonatal ICU data set (</w:t>
      </w:r>
      <w:r>
        <w:rPr/>
        <w:fldChar w:fldCharType="begin"/>
      </w:r>
      <w:r>
        <w:rPr/>
        <w:instrText> REF _Ref426430300 \h </w:instrText>
      </w:r>
      <w:r>
        <w:rPr/>
        <w:fldChar w:fldCharType="separate"/>
      </w:r>
      <w:r>
        <w:rPr/>
        <w:t>Figure  4 –9</w:t>
      </w:r>
      <w:r>
        <w:rPr/>
        <w:fldChar w:fldCharType="end"/>
      </w:r>
      <w:r>
        <w:rPr/>
        <w:t>). The ellipses are shifted towards the area of combined respiratory and metabolic acidoses. This is not the case for the adult respiratory intensive care units. This shift towards the combined acidosis area for the neonatal ICU is not surprising, since the majority of neonatal patients are premature new-borns with an insufficient respiratory and metabolic system, leading to an inadequate clearance of both volatile and non-volatile acids.</w:t>
      </w:r>
      <w:r>
        <mc:AlternateContent>
          <mc:Choice Requires="wps">
            <w:drawing>
              <wp:anchor behindDoc="0" distT="0" distB="114935" distL="114935" distR="114935" simplePos="0" locked="0" layoutInCell="1" allowOverlap="1" relativeHeight="27">
                <wp:simplePos x="0" y="0"/>
                <wp:positionH relativeFrom="margin">
                  <wp:align>center</wp:align>
                </wp:positionH>
                <wp:positionV relativeFrom="margin">
                  <wp:align>top</wp:align>
                </wp:positionV>
                <wp:extent cx="5780405" cy="4013200"/>
                <wp:effectExtent l="0" t="0" r="0" b="0"/>
                <wp:wrapTopAndBottom/>
                <wp:docPr id="35" name="Frame15"/>
                <a:graphic xmlns:a="http://schemas.openxmlformats.org/drawingml/2006/main">
                  <a:graphicData uri="http://schemas.microsoft.com/office/word/2010/wordprocessingShape">
                    <wps:wsp>
                      <wps:cNvSpPr txBox="1"/>
                      <wps:spPr>
                        <a:xfrm>
                          <a:off x="0" y="0"/>
                          <a:ext cx="5780405" cy="4013200"/>
                        </a:xfrm>
                        <a:prstGeom prst="rect"/>
                        <a:solidFill>
                          <a:srgbClr val="FFFFFF">
                            <a:alpha val="0"/>
                          </a:srgbClr>
                        </a:solidFill>
                      </wps:spPr>
                      <wps:txbx>
                        <w:txbxContent>
                          <w:p>
                            <w:pPr>
                              <w:pStyle w:val="Plaatsingfiguur"/>
                              <w:rPr>
                                <w:rStyle w:val="Buffer"/>
                                <w:lang w:val="en-GB"/>
                              </w:rPr>
                            </w:pPr>
                            <w:r>
                              <w:rPr>
                                <w:rStyle w:val="Buffer"/>
                                <w:lang w:val="en-GB"/>
                              </w:rPr>
                              <w:drawing>
                                <wp:inline distT="0" distB="0" distL="0" distR="0">
                                  <wp:extent cx="3162300" cy="3619500"/>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12"/>
                                          <a:srcRect l="-16" t="-14" r="-16" b="-14"/>
                                          <a:stretch>
                                            <a:fillRect/>
                                          </a:stretch>
                                        </pic:blipFill>
                                        <pic:spPr bwMode="auto">
                                          <a:xfrm>
                                            <a:off x="0" y="0"/>
                                            <a:ext cx="3162300" cy="36195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94" w:name="_Ref426429493"/>
                            <w:r>
                              <w:rPr>
                                <w:rStyle w:val="Buffer"/>
                              </w:rPr>
                              <w:t>F</w:t>
                            </w:r>
                            <w:r>
                              <w:rPr/>
                              <w:t xml:space="preserve">igure </w:t>
                            </w:r>
                            <w:r>
                              <w:fldChar w:fldCharType="begin"/>
                            </w:r>
                            <w:r>
                              <w:rPr/>
                              <w:instrText> STYLEREF 1 \s </w:instrText>
                            </w:r>
                            <w:r>
                              <w:rPr/>
                              <w:fldChar w:fldCharType="separate"/>
                            </w:r>
                            <w:bookmarkStart w:id="95" w:name="__Fieldmark__49_4042815248"/>
                            <w:r>
                              <w:rPr>
                                <w:lang w:val="en-US"/>
                              </w:rPr>
                              <w:t>4</w:t>
                            </w:r>
                            <w:r>
                              <w:rPr>
                                <w:lang w:val="en-US"/>
                              </w:rPr>
                            </w:r>
                            <w:r>
                              <w:rPr/>
                              <w:fldChar w:fldCharType="end"/>
                            </w:r>
                            <w:bookmarkEnd w:id="95"/>
                            <w:r>
                              <w:rPr/>
                              <w:t>–</w:t>
                            </w:r>
                            <w:r>
                              <w:rPr/>
                              <w:fldChar w:fldCharType="begin"/>
                            </w:r>
                            <w:r>
                              <w:rPr/>
                              <w:instrText> SEQ Figure \* ARABIC </w:instrText>
                            </w:r>
                            <w:r>
                              <w:rPr/>
                              <w:fldChar w:fldCharType="separate"/>
                            </w:r>
                            <w:r>
                              <w:rPr/>
                              <w:t>11</w:t>
                            </w:r>
                            <w:r>
                              <w:rPr/>
                              <w:fldChar w:fldCharType="end"/>
                            </w:r>
                            <w:bookmarkEnd w:id="94"/>
                            <w:r>
                              <w:rPr/>
                              <w:t xml:space="preserve">. The 30% equal probability ellipse (inner ellipse) and the 95% equal probability ellipse (outer ellipse) for the </w:t>
                            </w:r>
                            <w:r>
                              <w:rPr>
                                <w:rStyle w:val="Nietafbreken"/>
                                <w:lang w:val="en-GB"/>
                              </w:rPr>
                              <w:t>OLVGab</w:t>
                            </w:r>
                            <w:r>
                              <w:rPr/>
                              <w:t xml:space="preserve"> data set.</w:t>
                            </w:r>
                          </w:p>
                        </w:txbxContent>
                      </wps:txbx>
                      <wps:bodyPr anchor="t" lIns="0" tIns="0" rIns="0" bIns="0">
                        <a:noAutofit/>
                      </wps:bodyPr>
                    </wps:wsp>
                  </a:graphicData>
                </a:graphic>
              </wp:anchor>
            </w:drawing>
          </mc:Choice>
          <mc:Fallback>
            <w:pict>
              <v:rect fillcolor="#FFFFFF" style="position:absolute;rotation:0;width:455.15pt;height:316pt;mso-wrap-distance-left:9.05pt;mso-wrap-distance-right:9.05pt;mso-wrap-distance-top:0pt;mso-wrap-distance-bottom:9.05pt;margin-top:0pt;mso-position-vertical:top;mso-position-vertical-relative:margin;margin-left:6.3pt;mso-position-horizontal:center;mso-position-horizontal-relative:margin">
                <v:fill opacity="0f"/>
                <v:textbox>
                  <w:txbxContent>
                    <w:p>
                      <w:pPr>
                        <w:pStyle w:val="Plaatsingfiguur"/>
                        <w:rPr>
                          <w:rStyle w:val="Buffer"/>
                          <w:lang w:val="en-GB"/>
                        </w:rPr>
                      </w:pPr>
                      <w:r>
                        <w:rPr>
                          <w:rStyle w:val="Buffer"/>
                          <w:lang w:val="en-GB"/>
                        </w:rPr>
                        <w:drawing>
                          <wp:inline distT="0" distB="0" distL="0" distR="0">
                            <wp:extent cx="3162300" cy="3619500"/>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12"/>
                                    <a:srcRect l="-16" t="-14" r="-16" b="-14"/>
                                    <a:stretch>
                                      <a:fillRect/>
                                    </a:stretch>
                                  </pic:blipFill>
                                  <pic:spPr bwMode="auto">
                                    <a:xfrm>
                                      <a:off x="0" y="0"/>
                                      <a:ext cx="3162300" cy="36195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96" w:name="_Ref426429493"/>
                      <w:r>
                        <w:rPr>
                          <w:rStyle w:val="Buffer"/>
                        </w:rPr>
                        <w:t>F</w:t>
                      </w:r>
                      <w:r>
                        <w:rPr/>
                        <w:t xml:space="preserve">igure </w:t>
                      </w:r>
                      <w:r>
                        <w:fldChar w:fldCharType="begin"/>
                      </w:r>
                      <w:r>
                        <w:rPr/>
                        <w:instrText> STYLEREF 1 \s </w:instrText>
                      </w:r>
                      <w:r>
                        <w:rPr/>
                        <w:fldChar w:fldCharType="separate"/>
                      </w:r>
                      <w:bookmarkStart w:id="97" w:name="__Fieldmark__49_4042815248"/>
                      <w:r>
                        <w:rPr>
                          <w:lang w:val="en-US"/>
                        </w:rPr>
                        <w:t>4</w:t>
                      </w:r>
                      <w:r>
                        <w:rPr>
                          <w:lang w:val="en-US"/>
                        </w:rPr>
                      </w:r>
                      <w:r>
                        <w:rPr/>
                        <w:fldChar w:fldCharType="end"/>
                      </w:r>
                      <w:bookmarkEnd w:id="97"/>
                      <w:r>
                        <w:rPr/>
                        <w:t>–</w:t>
                      </w:r>
                      <w:r>
                        <w:rPr/>
                        <w:fldChar w:fldCharType="begin"/>
                      </w:r>
                      <w:r>
                        <w:rPr/>
                        <w:instrText> SEQ Figure \* ARABIC </w:instrText>
                      </w:r>
                      <w:r>
                        <w:rPr/>
                        <w:fldChar w:fldCharType="separate"/>
                      </w:r>
                      <w:r>
                        <w:rPr/>
                        <w:t>11</w:t>
                      </w:r>
                      <w:r>
                        <w:rPr/>
                        <w:fldChar w:fldCharType="end"/>
                      </w:r>
                      <w:bookmarkEnd w:id="96"/>
                      <w:r>
                        <w:rPr/>
                        <w:t xml:space="preserve">. The 30% equal probability ellipse (inner ellipse) and the 95% equal probability ellipse (outer ellipse) for the </w:t>
                      </w:r>
                      <w:r>
                        <w:rPr>
                          <w:rStyle w:val="Nietafbreken"/>
                          <w:lang w:val="en-GB"/>
                        </w:rPr>
                        <w:t>OLVGab</w:t>
                      </w:r>
                      <w:r>
                        <w:rPr/>
                        <w:t xml:space="preserve"> data set.</w:t>
                      </w:r>
                    </w:p>
                  </w:txbxContent>
                </v:textbox>
                <w10:wrap type="topAndBottom"/>
              </v:rect>
            </w:pict>
          </mc:Fallback>
        </mc:AlternateContent>
      </w:r>
    </w:p>
    <w:p>
      <w:pPr>
        <w:pStyle w:val="Normal"/>
        <w:rPr/>
      </w:pPr>
      <w:r>
        <w:rPr/>
        <w:t xml:space="preserve">Another mechanism that might influence the shape and position of a patient-based reference region is the difference in protocols used on an ICU and the preferences of the clinicians working at that ICU. For instance, from discussions with clinicians at the respiratory ICU of the academic hospital Dijkzigt (data set </w:t>
      </w:r>
      <w:r>
        <w:rPr>
          <w:rStyle w:val="Nietafbreken"/>
          <w:i/>
        </w:rPr>
        <w:t>AZRbe</w:t>
      </w:r>
      <w:r>
        <w:rPr/>
        <w:t xml:space="preserve">) it became clear that there was a tendency to keep ventilated patients in a moderate state of hyperventilation </w:t>
      </w:r>
      <w:r>
        <w:fldChar w:fldCharType="begin"/>
      </w:r>
      <w:r>
        <w:rPr/>
        <w:instrText> ADDIN ENRf8 _x0001_</w:instrText>
      </w:r>
      <w:r>
        <w:rPr/>
        <w:fldChar w:fldCharType="separate"/>
      </w:r>
      <w:bookmarkStart w:id="98" w:name="__Fieldmark__50_4042815248"/>
      <w:r>
        <w:rPr/>
        <w:t>[19]</w:t>
      </w:r>
      <w:r>
        <w:rPr/>
      </w:r>
      <w:r>
        <w:rPr/>
        <w:fldChar w:fldCharType="end"/>
      </w:r>
      <w:bookmarkEnd w:id="98"/>
      <w:r>
        <w:rPr/>
        <w:t xml:space="preserve">. This explains the shift of the ellipses of the </w:t>
      </w:r>
      <w:r>
        <w:rPr>
          <w:rStyle w:val="Nietafbreken"/>
          <w:i/>
        </w:rPr>
        <w:t>AZRbe</w:t>
      </w:r>
      <w:r>
        <w:rPr/>
        <w:t xml:space="preserve"> data set (</w:t>
      </w:r>
      <w:r>
        <w:rPr/>
        <w:fldChar w:fldCharType="begin"/>
      </w:r>
      <w:r>
        <w:rPr/>
        <w:instrText> REF _Ref426430264 \h </w:instrText>
      </w:r>
      <w:r>
        <w:rPr/>
        <w:fldChar w:fldCharType="separate"/>
      </w:r>
      <w:r>
        <w:rPr/>
        <w:t>Figure  4 –8</w:t>
      </w:r>
      <w:r>
        <w:rPr/>
        <w:fldChar w:fldCharType="end"/>
      </w:r>
      <w:r>
        <w:rPr/>
        <w:t>) towards the area of respiratory alkaloses.</w:t>
      </w:r>
    </w:p>
    <w:p>
      <w:pPr>
        <w:pStyle w:val="Normal"/>
        <w:rPr/>
      </w:pPr>
      <w:r>
        <w:rPr/>
        <w:t>In conclusion, a multivariate reference region based on an ICU population is not only patient-based but also clinic-dependent. It gives an indication as to which of the patients in one particular ICU are most in need of care.</w:t>
      </w:r>
    </w:p>
    <w:p>
      <w:pPr>
        <w:pStyle w:val="Normal"/>
        <w:rPr/>
      </w:pPr>
      <w:r>
        <w:rPr/>
        <w:t xml:space="preserve">Ad 2. What is the clinical value of a multivariate reference model compared to the use of classical univariate reference intervals? The Mahalanobis distance (Equation </w:t>
      </w:r>
      <w:r>
        <w:rPr/>
        <w:fldChar w:fldCharType="begin"/>
      </w:r>
      <w:r>
        <w:rPr/>
        <w:instrText> REF Equation_Mahalanobis \h </w:instrText>
      </w:r>
      <w:r>
        <w:rPr/>
        <w:fldChar w:fldCharType="separate"/>
      </w:r>
      <w:r>
        <w:rPr/>
        <w:t xml:space="preserve"> 4 –1</w:t>
      </w:r>
      <w:r>
        <w:rPr/>
        <w:fldChar w:fldCharType="end"/>
      </w:r>
      <w:r>
        <w:rPr/>
        <w:t>) enables the monitoring of the original three laboratory values with only one single parameter. Monitoring the acid-base status with this single multivariate index may well be advantageous for ICU personnel because of its ease of interpretation. In a future acid-base monitoring system, one single threshold needs to be set instead of three separate thresholds for all laboratory acid-base variables. Also, using the Mahalanobis distance as a monitoring parameter for arterial acid-base values could substantially reduce the number of false-positive alarms as described in the introduction. It should be noted here that the Mahalanobis distance does not add new concepts to the interpretation of acid-base data. Merely, another statistical tool is presented for the analysis of acid-base data that deals with the fundamental problems associated with the simultaneous analysis of more that one variable. The proposed technique does not deprive a clinician of his usual way of interpreting acid-base data of a patient, but patient outcome could be indirectly influenced because of the possible reduction in false positive alarms and the simplicity of analysing a single parameter, giving the clinician more time for other aspects of patient care.</w:t>
      </w:r>
    </w:p>
    <w:p>
      <w:pPr>
        <w:pStyle w:val="Normal"/>
        <w:rPr/>
      </w:pPr>
      <w:r>
        <w:rPr/>
      </w:r>
    </w:p>
    <w:p>
      <w:pPr>
        <w:pStyle w:val="Heading2"/>
        <w:numPr>
          <w:ilvl w:val="1"/>
          <w:numId w:val="1"/>
        </w:numPr>
        <w:rPr/>
      </w:pPr>
      <w:r>
        <w:rPr/>
        <w:t>References</w:t>
      </w:r>
    </w:p>
    <w:p>
      <w:pPr>
        <w:pStyle w:val="Bibliography"/>
        <w:rPr/>
      </w:pPr>
      <w:r>
        <w:fldChar w:fldCharType="begin"/>
      </w:r>
      <w:r>
        <w:rPr/>
        <w:instrText> ADDIN ENBib 威</w:instrText>
      </w:r>
      <w:r>
        <w:rPr/>
        <w:fldChar w:fldCharType="separate"/>
      </w:r>
      <w:bookmarkStart w:id="99" w:name="__Fieldmark__51_4042815248"/>
      <w:r>
        <w:rPr/>
        <w:t>1.</w:t>
        <w:tab/>
        <w:t xml:space="preserve">Solberg HE, PetitClerc C. International Federation of Clinical Chemistry (IFCC), Scientific Committee, Clinical Section, Expert Panel on Theory of Reference Values. Approved recommendation (1988) on the theory of reference values. Part 3. Preparation of individuals and collection of specimens for the production of reference values. </w:t>
      </w:r>
      <w:r>
        <w:rPr>
          <w:i/>
        </w:rPr>
        <w:t>J Clin Chem Clin Biochem</w:t>
      </w:r>
      <w:r>
        <w:rPr/>
        <w:t xml:space="preserve"> 1988; 26:593-598.</w:t>
      </w:r>
    </w:p>
    <w:p>
      <w:pPr>
        <w:pStyle w:val="Bibliography"/>
        <w:rPr/>
      </w:pPr>
      <w:r>
        <w:rPr/>
        <w:t>2.</w:t>
        <w:tab/>
        <w:t xml:space="preserve">Solberg HE. International Federation of Clinical Chemistry (IFCC), Scientific Committee, Clinical Section, Expert Panel on Theory of Reference Values, and International Committee for Standardization in Haematology (ICSH), Standing Committee on Reference Values. Approved Recommendation (1986) on the theory of reference values. Part 1. The concept of reference values. </w:t>
      </w:r>
      <w:r>
        <w:rPr>
          <w:i/>
        </w:rPr>
        <w:t>J Clin Chem Clin Biochem</w:t>
      </w:r>
      <w:r>
        <w:rPr/>
        <w:t xml:space="preserve"> 1987; 25:337-342.</w:t>
      </w:r>
    </w:p>
    <w:p>
      <w:pPr>
        <w:pStyle w:val="Bibliography"/>
        <w:rPr/>
      </w:pPr>
      <w:r>
        <w:rPr/>
        <w:t>3.</w:t>
        <w:tab/>
        <w:t xml:space="preserve">Solberg HE. International Federation of Clinical Chemistry (IFCC), Scientific Committee, Clinical Section, Expert Panel on Theory of Reference Values. Approved recommendation (1988) on the theory of reference values. Part 5. Statistical treatment of collected reference values. Determination of reference limits. </w:t>
      </w:r>
      <w:r>
        <w:rPr>
          <w:i/>
        </w:rPr>
        <w:t>J Clin Chem Clin Biochem</w:t>
      </w:r>
      <w:r>
        <w:rPr/>
        <w:t xml:space="preserve"> 1987; 25:645-656.</w:t>
      </w:r>
    </w:p>
    <w:p>
      <w:pPr>
        <w:pStyle w:val="Bibliography"/>
        <w:rPr/>
      </w:pPr>
      <w:r>
        <w:rPr/>
        <w:t>4.</w:t>
        <w:tab/>
        <w:t xml:space="preserve">Boyd JC. Perspectives on the use of chemometrics in laboratory medicine. </w:t>
      </w:r>
      <w:r>
        <w:rPr>
          <w:i/>
        </w:rPr>
        <w:t>Clin Chem</w:t>
      </w:r>
      <w:r>
        <w:rPr/>
        <w:t xml:space="preserve"> 1986; 32:1726-1733.</w:t>
      </w:r>
    </w:p>
    <w:p>
      <w:pPr>
        <w:pStyle w:val="Bibliography"/>
        <w:rPr/>
      </w:pPr>
      <w:r>
        <w:rPr/>
        <w:t>5.</w:t>
        <w:tab/>
        <w:t>Bezemer PD. Referentiewaarden - een verkenning van methoden voor het bepalen van 'normale waarden'. Amsterdam: Vrije Universiteit Amsterdam, 1981; 180 pp.</w:t>
      </w:r>
    </w:p>
    <w:p>
      <w:pPr>
        <w:pStyle w:val="Bibliography"/>
        <w:rPr/>
      </w:pPr>
      <w:r>
        <w:rPr/>
        <w:t>6.</w:t>
        <w:tab/>
        <w:t xml:space="preserve">Solberg HE, Gräsback R. Reference values. </w:t>
      </w:r>
      <w:r>
        <w:rPr>
          <w:i/>
        </w:rPr>
        <w:t>Adv Clin Chem</w:t>
      </w:r>
      <w:r>
        <w:rPr/>
        <w:t xml:space="preserve"> 1994; 27:1 -79.</w:t>
      </w:r>
    </w:p>
    <w:p>
      <w:pPr>
        <w:pStyle w:val="Bibliography"/>
        <w:rPr/>
      </w:pPr>
      <w:r>
        <w:rPr/>
        <w:t>7.</w:t>
        <w:tab/>
        <w:t>Solberg HE. Establishment and use of reference values. In: Burtis CA, Ashwood ER, eds. Tietz textbook of clinical chemistry. 2nd Edition, W.B. Saunders Company, 1994; 454-484.</w:t>
      </w:r>
    </w:p>
    <w:p>
      <w:pPr>
        <w:pStyle w:val="Bibliography"/>
        <w:rPr/>
      </w:pPr>
      <w:r>
        <w:rPr/>
        <w:t>8.</w:t>
        <w:tab/>
        <w:t>Dixon WJ, Massey FJ. Introduction to statistical analysis. Student Edition, Singapore: McGraw-Hill, Inc., 1983; 1-678.</w:t>
      </w:r>
    </w:p>
    <w:p>
      <w:pPr>
        <w:pStyle w:val="Bibliography"/>
        <w:rPr/>
      </w:pPr>
      <w:r>
        <w:rPr/>
        <w:t>9.</w:t>
        <w:tab/>
        <w:t xml:space="preserve">Gelsema ES, Leijnse B, Wulkan RW. A multi-dimensional analysis of three chemical quantities in the blood. </w:t>
      </w:r>
      <w:r>
        <w:rPr>
          <w:i/>
        </w:rPr>
        <w:t>Med Inform</w:t>
      </w:r>
      <w:r>
        <w:rPr/>
        <w:t xml:space="preserve"> 1991; 16:43-54.</w:t>
      </w:r>
    </w:p>
    <w:p>
      <w:pPr>
        <w:pStyle w:val="Bibliography"/>
        <w:rPr/>
      </w:pPr>
      <w:r>
        <w:rPr/>
        <w:t>10.</w:t>
        <w:tab/>
        <w:t xml:space="preserve">Madias NE, Adroqué HJ, Horowitz GL, et al. A redefinition of normal acid-base equilibrium in man: Carbon dioxide tension as a key determinant of normal plasma bicarbonate concentration. </w:t>
      </w:r>
      <w:r>
        <w:rPr>
          <w:i/>
        </w:rPr>
        <w:t>Kidney Int</w:t>
      </w:r>
      <w:r>
        <w:rPr/>
        <w:t xml:space="preserve"> 1979; 16:612-618.</w:t>
      </w:r>
    </w:p>
    <w:p>
      <w:pPr>
        <w:pStyle w:val="Bibliography"/>
        <w:rPr/>
      </w:pPr>
      <w:r>
        <w:rPr/>
        <w:t>11.</w:t>
        <w:tab/>
        <w:t xml:space="preserve">Schoen I, Brooks SH. Judgment based on 95% confidence limits. </w:t>
      </w:r>
      <w:r>
        <w:rPr>
          <w:i/>
        </w:rPr>
        <w:t>Statistical Considerations</w:t>
      </w:r>
      <w:r>
        <w:rPr/>
        <w:t xml:space="preserve"> 1969; 53:190-193.</w:t>
      </w:r>
    </w:p>
    <w:p>
      <w:pPr>
        <w:pStyle w:val="Bibliography"/>
        <w:rPr/>
      </w:pPr>
      <w:r>
        <w:rPr/>
        <w:t>12.</w:t>
        <w:tab/>
        <w:t>Naus AJ. De berekening van referentiewaarden in de klinische chemie uit analyseresultaten van een patientenpopulatie. Maastricht: Rijksuniversiteit Maastricht, 1982; 154 pp.</w:t>
      </w:r>
    </w:p>
    <w:p>
      <w:pPr>
        <w:pStyle w:val="Bibliography"/>
        <w:rPr/>
      </w:pPr>
      <w:r>
        <w:rPr/>
        <w:t>13.</w:t>
        <w:tab/>
        <w:t xml:space="preserve">Slotnick HB, Etzell P. Multivariate interpretation of laboratory tests used in monitoring patients. </w:t>
      </w:r>
      <w:r>
        <w:rPr>
          <w:i/>
        </w:rPr>
        <w:t>Clin Chem</w:t>
      </w:r>
      <w:r>
        <w:rPr/>
        <w:t xml:space="preserve"> 1990; 36:748-751.</w:t>
      </w:r>
    </w:p>
    <w:p>
      <w:pPr>
        <w:pStyle w:val="Bibliography"/>
        <w:rPr/>
      </w:pPr>
      <w:r>
        <w:rPr/>
        <w:t>14.</w:t>
        <w:tab/>
        <w:t xml:space="preserve">Winkel P. Multivariate analysis and expert systems. </w:t>
      </w:r>
      <w:r>
        <w:rPr>
          <w:i/>
        </w:rPr>
        <w:t>Scand J Clin Lab Invest</w:t>
      </w:r>
      <w:r>
        <w:rPr/>
        <w:t xml:space="preserve"> 1994; 219:12-24.</w:t>
      </w:r>
    </w:p>
    <w:p>
      <w:pPr>
        <w:pStyle w:val="Bibliography"/>
        <w:rPr/>
      </w:pPr>
      <w:r>
        <w:rPr/>
        <w:t>15.</w:t>
        <w:tab/>
        <w:t xml:space="preserve">Winkel P, Lyngbye J, Jörgensen K. The normal region - a multivariate problem. </w:t>
      </w:r>
      <w:r>
        <w:rPr>
          <w:i/>
        </w:rPr>
        <w:t>Scand J Clin Lab Invest</w:t>
      </w:r>
      <w:r>
        <w:rPr/>
        <w:t xml:space="preserve"> 1972; 30:339-344.</w:t>
      </w:r>
    </w:p>
    <w:p>
      <w:pPr>
        <w:pStyle w:val="Bibliography"/>
        <w:rPr/>
      </w:pPr>
      <w:r>
        <w:rPr/>
        <w:t>16.</w:t>
        <w:tab/>
        <w:t xml:space="preserve">Grams RR, Johnson EA, Benson ES. Laboratory data analysis system: section III-multivariate normality. </w:t>
      </w:r>
      <w:r>
        <w:rPr>
          <w:i/>
        </w:rPr>
        <w:t>Am J Clin Pathol</w:t>
      </w:r>
      <w:r>
        <w:rPr/>
        <w:t xml:space="preserve"> 1972; 85:188-199.</w:t>
      </w:r>
    </w:p>
    <w:p>
      <w:pPr>
        <w:pStyle w:val="Bibliography"/>
        <w:rPr/>
      </w:pPr>
      <w:r>
        <w:rPr/>
        <w:t>17.</w:t>
        <w:tab/>
        <w:t xml:space="preserve">Albert A, Harris EK. Multivariate interpretation of clinical laboratory data. New York: Marcel Dekker Inc, 1987, Owen DB, Cornell RG, eds., </w:t>
      </w:r>
      <w:r>
        <w:rPr>
          <w:i/>
        </w:rPr>
        <w:t>STATISTICS: Textbooks and Monographs</w:t>
      </w:r>
      <w:r>
        <w:rPr/>
        <w:t>; vol 75.</w:t>
      </w:r>
    </w:p>
    <w:p>
      <w:pPr>
        <w:pStyle w:val="Bibliography"/>
        <w:rPr/>
      </w:pPr>
      <w:r>
        <w:rPr/>
        <w:t>18.</w:t>
        <w:tab/>
        <w:t xml:space="preserve">Harris EK. Statistical aspects of reference values in clinical pathology. </w:t>
      </w:r>
      <w:r>
        <w:rPr>
          <w:i/>
        </w:rPr>
        <w:t>Prog Clin Pathol</w:t>
      </w:r>
      <w:r>
        <w:rPr/>
        <w:t xml:space="preserve"> 1981; 8:45-66.</w:t>
      </w:r>
    </w:p>
    <w:p>
      <w:pPr>
        <w:pStyle w:val="Bibliography"/>
        <w:rPr/>
      </w:pPr>
      <w:r>
        <w:rPr/>
        <w:t>19.</w:t>
        <w:tab/>
        <w:t>Wulkan RW. Expert systems and multivariate analysis in clinical chemistry. Rotterdam: Erasmus University Rotterdam, 1992; 111 pp.</w:t>
      </w:r>
    </w:p>
    <w:p>
      <w:pPr>
        <w:pStyle w:val="Bibliography"/>
        <w:rPr/>
      </w:pPr>
      <w:r>
        <w:rPr/>
        <w:t>20.</w:t>
        <w:tab/>
        <w:t xml:space="preserve">Stamhuis IH, Bezemer PD, Kuik D. Evaluation of univariate ranges with a multivariate standard. </w:t>
      </w:r>
      <w:r>
        <w:rPr>
          <w:i/>
        </w:rPr>
        <w:t>J Clin Epidemiol</w:t>
      </w:r>
      <w:r>
        <w:rPr/>
        <w:t xml:space="preserve"> 1988; 41:359-366.</w:t>
      </w:r>
    </w:p>
    <w:p>
      <w:pPr>
        <w:pStyle w:val="Bibliography"/>
        <w:rPr/>
      </w:pPr>
      <w:r>
        <w:rPr/>
        <w:t>21.</w:t>
        <w:tab/>
        <w:t xml:space="preserve">Mahalanobis PC. On the generalized distance in statistics. </w:t>
      </w:r>
      <w:r>
        <w:rPr>
          <w:i/>
        </w:rPr>
        <w:t>Proc Natl Inst Sci India</w:t>
      </w:r>
      <w:r>
        <w:rPr/>
        <w:t xml:space="preserve"> 1936; 2:49-56.</w:t>
      </w:r>
    </w:p>
    <w:p>
      <w:pPr>
        <w:pStyle w:val="Bibliography"/>
        <w:rPr/>
      </w:pPr>
      <w:r>
        <w:rPr/>
        <w:t>22.</w:t>
        <w:tab/>
        <w:t xml:space="preserve">Linnet K. Influence of sampling variation and analytical errors on the performance of the multivariate reference region. </w:t>
      </w:r>
      <w:r>
        <w:rPr>
          <w:i/>
        </w:rPr>
        <w:t>Meth Inform Med</w:t>
      </w:r>
      <w:r>
        <w:rPr/>
        <w:t xml:space="preserve"> 1988; 27:37-42.</w:t>
      </w:r>
    </w:p>
    <w:p>
      <w:pPr>
        <w:pStyle w:val="Bibliography"/>
        <w:rPr/>
      </w:pPr>
      <w:r>
        <w:rPr/>
        <w:t>23.</w:t>
        <w:tab/>
        <w:t xml:space="preserve">Chew V. Confidence, prediction, and tolerance regions for the multivariate normal distribution. </w:t>
      </w:r>
      <w:r>
        <w:rPr>
          <w:i/>
        </w:rPr>
        <w:t>J Am Stat Assoc</w:t>
      </w:r>
      <w:r>
        <w:rPr/>
        <w:t xml:space="preserve"> 1966; 61:605-617.</w:t>
      </w:r>
    </w:p>
    <w:p>
      <w:pPr>
        <w:pStyle w:val="Bibliography"/>
        <w:rPr/>
      </w:pPr>
      <w:r>
        <w:rPr/>
        <w:t>24.</w:t>
        <w:tab/>
        <w:t xml:space="preserve">Boyd JC, Lacher DA. The multivariate reference range: an alternative interpretation of multi-test profiles. </w:t>
      </w:r>
      <w:r>
        <w:rPr>
          <w:i/>
        </w:rPr>
        <w:t>Clin Chem</w:t>
      </w:r>
      <w:r>
        <w:rPr/>
        <w:t xml:space="preserve"> 1982; 28:259-265.</w:t>
      </w:r>
    </w:p>
    <w:p>
      <w:pPr>
        <w:pStyle w:val="Bibliography"/>
        <w:rPr/>
      </w:pPr>
      <w:r>
        <w:rPr/>
        <w:t>25.</w:t>
        <w:tab/>
        <w:t>Mardia KV. Tests of univariate and multivariate normality. In: Krishnaiah PR, ed. Handbook of Statistics.  Amsterdam: North-Holland Publishing Co, 1980; 279-320; vol 1: Analyses of Variance.</w:t>
      </w:r>
    </w:p>
    <w:p>
      <w:pPr>
        <w:pStyle w:val="Bibliography"/>
        <w:rPr/>
      </w:pPr>
      <w:r>
        <w:rPr/>
        <w:t>26.</w:t>
        <w:tab/>
        <w:t xml:space="preserve">Solberg HE. Statistical treatment of reference values in laboratory medicine: Testing the goodness-of-fit of an observed distribution to the Gaussian distribution. </w:t>
      </w:r>
      <w:r>
        <w:rPr>
          <w:i/>
        </w:rPr>
        <w:t>Scand J Clin Lab Invest Suppl</w:t>
      </w:r>
      <w:r>
        <w:rPr/>
        <w:t xml:space="preserve"> 1986; 46:125-132.</w:t>
      </w:r>
    </w:p>
    <w:p>
      <w:pPr>
        <w:pStyle w:val="Bibliography"/>
        <w:rPr/>
      </w:pPr>
      <w:r>
        <w:rPr/>
        <w:t>27.</w:t>
        <w:tab/>
        <w:t xml:space="preserve">Gelsema ES, Leijnse B, Wulkan RW. Detection of aberrant observations in a background of an unknown multidimensional gaussian distribution. </w:t>
      </w:r>
      <w:r>
        <w:rPr>
          <w:i/>
        </w:rPr>
        <w:t>Meth Inform Med</w:t>
      </w:r>
      <w:r>
        <w:rPr/>
        <w:t xml:space="preserve"> 1990; 29:236-242.</w:t>
      </w:r>
    </w:p>
    <w:p>
      <w:pPr>
        <w:pStyle w:val="Bibliography"/>
        <w:rPr/>
      </w:pPr>
      <w:r>
        <w:rPr/>
        <w:t>28.</w:t>
        <w:tab/>
        <w:t xml:space="preserve">Baadenhuijsen H, Smit JC. Indirect estimation of clinical chemical reference intervals from total hospital patient data: application of a modified Bhattacharya procedure. </w:t>
      </w:r>
      <w:r>
        <w:rPr>
          <w:i/>
        </w:rPr>
        <w:t>J Clin Chem Clin Biochem</w:t>
      </w:r>
      <w:r>
        <w:rPr/>
        <w:t xml:space="preserve"> 1985; 23:829-839.</w:t>
      </w:r>
    </w:p>
    <w:p>
      <w:pPr>
        <w:pStyle w:val="Bibliography"/>
        <w:rPr/>
      </w:pPr>
      <w:r>
        <w:rPr/>
        <w:t>29.</w:t>
        <w:tab/>
        <w:t>Oosterhuis WP. Application of statistics in the clinical laboratory with emphasis on multivariate analysis. Leiden: Rijksuniversiteit Leiden, 1994; 104 pp.</w:t>
      </w:r>
    </w:p>
    <w:p>
      <w:pPr>
        <w:pStyle w:val="Bibliography"/>
        <w:rPr/>
      </w:pPr>
      <w:r>
        <w:rPr/>
        <w:t>30.</w:t>
        <w:tab/>
        <w:t xml:space="preserve">Naus AJ, Borst A, Kuppens PS. The use of patient data for the calculation of reference values for some haematological parameters. </w:t>
      </w:r>
      <w:r>
        <w:rPr>
          <w:i/>
        </w:rPr>
        <w:t>J Clin Chem Clin Biochem</w:t>
      </w:r>
      <w:r>
        <w:rPr/>
        <w:t xml:space="preserve"> 1980; 18:621-625.</w:t>
      </w:r>
    </w:p>
    <w:p>
      <w:pPr>
        <w:pStyle w:val="Bibliography"/>
        <w:rPr/>
      </w:pPr>
      <w:r>
        <w:rPr/>
        <w:t>31.</w:t>
        <w:tab/>
        <w:t xml:space="preserve">Naus AJ, Borst A, Kuppens PS. Determination of n-dimensional reference ellipsoids using patient data. </w:t>
      </w:r>
      <w:r>
        <w:rPr>
          <w:i/>
        </w:rPr>
        <w:t>J Clin Chem Clin Biochem</w:t>
      </w:r>
      <w:r>
        <w:rPr/>
        <w:t xml:space="preserve"> 1982; 20:75-80.</w:t>
      </w:r>
    </w:p>
    <w:p>
      <w:pPr>
        <w:pStyle w:val="Bibliography"/>
        <w:rPr/>
      </w:pPr>
      <w:r>
        <w:rPr/>
        <w:t>32.</w:t>
        <w:tab/>
        <w:t xml:space="preserve">Hekking M, Lindemans J, Gelsema ES. A computer program for constructing multivariate reference models. </w:t>
      </w:r>
      <w:r>
        <w:rPr>
          <w:i/>
        </w:rPr>
        <w:t>Comput Methods Programs Biomed</w:t>
      </w:r>
      <w:r>
        <w:rPr/>
        <w:t xml:space="preserve"> 1997; 53:191-200.</w:t>
      </w:r>
    </w:p>
    <w:p>
      <w:pPr>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276" w:right="1276" w:header="1134" w:top="1701" w:footer="1134" w:bottom="1701" w:gutter="0"/>
          <w:pgNumType w:fmt="decimal"/>
          <w:formProt w:val="false"/>
          <w:titlePg/>
          <w:textDirection w:val="lrTb"/>
          <w:docGrid w:type="default" w:linePitch="360" w:charSpace="0"/>
        </w:sectPr>
        <w:pStyle w:val="Bibliography"/>
        <w:rPr/>
      </w:pPr>
      <w:r>
        <w:rPr/>
        <w:t>33.</w:t>
        <w:tab/>
        <w:t xml:space="preserve">Gräsbeck R. Reference values, why and how. </w:t>
      </w:r>
      <w:r>
        <w:rPr>
          <w:i/>
        </w:rPr>
        <w:t>Scand J Clin Lab Invest</w:t>
      </w:r>
      <w:r>
        <w:rPr/>
        <w:t xml:space="preserve"> 1990; 201:45-53.</w:t>
      </w:r>
      <w:r>
        <w:rPr/>
      </w:r>
      <w:r>
        <w:rPr/>
        <w:fldChar w:fldCharType="end"/>
      </w:r>
      <w:bookmarkEnd w:id="99"/>
    </w:p>
    <w:p>
      <w:pPr>
        <w:pStyle w:val="Bibliography"/>
        <w:rPr/>
      </w:pPr>
      <w:r>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418" w:right="1134" w:header="851" w:top="1701" w:footer="851"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Liberation Sans">
    <w:altName w:val="Arial"/>
    <w:charset w:val="01"/>
    <w:family w:val="swiss"/>
    <w:pitch w:val="variable"/>
  </w:font>
  <w:font w:name="Animals">
    <w:charset w:val="02"/>
    <w:family w:val="swiss"/>
    <w:pitch w:val="variable"/>
  </w:font>
  <w:font w:name="AGaramo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51">
              <wp:simplePos x="0" y="0"/>
              <wp:positionH relativeFrom="margin">
                <wp:align>right</wp:align>
              </wp:positionH>
              <wp:positionV relativeFrom="paragraph">
                <wp:posOffset>635</wp:posOffset>
              </wp:positionV>
              <wp:extent cx="226695" cy="215900"/>
              <wp:effectExtent l="0" t="0" r="0" b="0"/>
              <wp:wrapSquare wrapText="largest"/>
              <wp:docPr id="38" name="Frame17"/>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39">
              <wp:simplePos x="0" y="0"/>
              <wp:positionH relativeFrom="margin">
                <wp:align>right</wp:align>
              </wp:positionH>
              <wp:positionV relativeFrom="paragraph">
                <wp:posOffset>635</wp:posOffset>
              </wp:positionV>
              <wp:extent cx="226695" cy="215900"/>
              <wp:effectExtent l="0" t="0" r="0" b="0"/>
              <wp:wrapSquare wrapText="largest"/>
              <wp:docPr id="39" name="Frame16"/>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449.8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40" name="Frame19"/>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41" name="Frame18"/>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 xml:space="preserve">chapter </w:t>
    </w:r>
    <w:r>
      <w:rPr/>
      <w:fldChar w:fldCharType="begin"/>
    </w:r>
    <w:r>
      <w:rPr/>
      <w:instrText> REF _Ref433871878 \w \h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Patient-based bivariate reference models for acid-base data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 xml:space="preserve">chapter </w:t>
    </w:r>
    <w:r>
      <w:rPr/>
      <w:fldChar w:fldCharType="begin"/>
    </w:r>
    <w:r>
      <w:rPr/>
      <w:instrText> REF _Ref403815123 \n \h </w:instrText>
    </w:r>
    <w:r>
      <w:rPr/>
      <w:fldChar w:fldCharType="separate"/>
    </w:r>
    <w:r>
      <w:rPr/>
      <w:t>Error: Reference source not found</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right"/>
      <w:rPr/>
    </w:pPr>
    <w:r>
      <w:rPr/>
      <w:t>patient-based reference regions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rPr/>
    </w:lvl>
    <w:lvl w:ilvl="1">
      <w:start w:val="1"/>
      <w:pStyle w:val="Heading2"/>
      <w:numFmt w:val="decimal"/>
      <w:suff w:val="space"/>
      <w:lvlText w:val="%1.%2"/>
      <w:lvlJc w:val="left"/>
      <w:pPr>
        <w:ind w:left="0" w:hanging="0"/>
      </w:pPr>
      <w:rPr/>
    </w:lvl>
    <w:lvl w:ilvl="2">
      <w:start w:val="1"/>
      <w:pStyle w:val="Heading3"/>
      <w:numFmt w:val="decimal"/>
      <w:suff w:val="space"/>
      <w:lvlText w:val="%1.%2.%3"/>
      <w:lvlJc w:val="left"/>
      <w:pPr>
        <w:ind w:left="0" w:hanging="0"/>
      </w:pPr>
      <w:rPr/>
    </w:lvl>
    <w:lvl w:ilvl="3">
      <w:start w:val="1"/>
      <w:pStyle w:val="Heading4"/>
      <w:numFmt w:val="decimal"/>
      <w:suff w:val="space"/>
      <w:lvlText w:val="%1.%2.%3.%4"/>
      <w:lvlJc w:val="left"/>
      <w:pPr>
        <w:ind w:left="0" w:hanging="0"/>
      </w:pPr>
      <w:rPr/>
    </w:lvl>
    <w:lvl w:ilvl="4">
      <w:start w:val="1"/>
      <w:pStyle w:val="Heading5"/>
      <w:numFmt w:val="decimal"/>
      <w:suff w:val="space"/>
      <w:lvlText w:val="%1.%2.%3.%4.%5"/>
      <w:lvlJc w:val="left"/>
      <w:pPr>
        <w:ind w:left="0" w:hanging="0"/>
      </w:pPr>
      <w:rPr/>
    </w:lvl>
    <w:lvl w:ilvl="5">
      <w:start w:val="1"/>
      <w:pStyle w:val="Heading6"/>
      <w:numFmt w:val="decimal"/>
      <w:suff w:val="space"/>
      <w:lvlText w:val="%1.%2.%3.%4.%5.%6"/>
      <w:lvlJc w:val="left"/>
      <w:pPr>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75"/>
  <w:mirrorMargins/>
  <w:defaultTabStop w:val="720"/>
  <w:compat>
    <w:doNotExpandShiftReturn/>
  </w:compat>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suppressAutoHyphens w:val="false"/>
      <w:bidi w:val="0"/>
      <w:spacing w:lineRule="exact" w:line="340"/>
      <w:jc w:val="both"/>
    </w:pPr>
    <w:rPr>
      <w:rFonts w:ascii="Garamond" w:hAnsi="Garamond" w:eastAsia="Times New Roman" w:cs="Garamond"/>
      <w:color w:val="auto"/>
      <w:sz w:val="28"/>
      <w:szCs w:val="20"/>
      <w:lang w:val="en-GB" w:eastAsia="zh-CN" w:bidi="hi-IN"/>
    </w:rPr>
  </w:style>
  <w:style w:type="paragraph" w:styleId="Heading1">
    <w:name w:val="Heading 1"/>
    <w:basedOn w:val="Normal"/>
    <w:next w:val="Normal"/>
    <w:qFormat/>
    <w:pPr>
      <w:keepNext w:val="true"/>
      <w:numPr>
        <w:ilvl w:val="0"/>
        <w:numId w:val="1"/>
      </w:numPr>
      <w:suppressAutoHyphens w:val="true"/>
      <w:spacing w:lineRule="auto" w:line="240" w:before="240" w:after="60"/>
      <w:jc w:val="right"/>
      <w:outlineLvl w:val="0"/>
    </w:pPr>
    <w:rPr>
      <w:kern w:val="2"/>
      <w:sz w:val="144"/>
    </w:rPr>
  </w:style>
  <w:style w:type="paragraph" w:styleId="Heading2">
    <w:name w:val="Heading 2"/>
    <w:basedOn w:val="Normal"/>
    <w:next w:val="Normal"/>
    <w:qFormat/>
    <w:pPr>
      <w:keepNext w:val="true"/>
      <w:numPr>
        <w:ilvl w:val="1"/>
        <w:numId w:val="1"/>
      </w:numPr>
      <w:suppressAutoHyphens w:val="true"/>
      <w:spacing w:before="240" w:after="60"/>
      <w:jc w:val="left"/>
      <w:outlineLvl w:val="1"/>
    </w:pPr>
    <w:rPr>
      <w:b/>
      <w:kern w:val="2"/>
    </w:rPr>
  </w:style>
  <w:style w:type="paragraph" w:styleId="Heading3">
    <w:name w:val="Heading 3"/>
    <w:basedOn w:val="Normal"/>
    <w:next w:val="Normal"/>
    <w:qFormat/>
    <w:pPr>
      <w:keepNext w:val="true"/>
      <w:numPr>
        <w:ilvl w:val="2"/>
        <w:numId w:val="1"/>
      </w:numPr>
      <w:suppressAutoHyphens w:val="true"/>
      <w:spacing w:before="240" w:after="60"/>
      <w:outlineLvl w:val="2"/>
    </w:pPr>
    <w:rPr>
      <w:i/>
      <w:kern w:val="2"/>
    </w:rPr>
  </w:style>
  <w:style w:type="paragraph" w:styleId="Heading4">
    <w:name w:val="Heading 4"/>
    <w:basedOn w:val="Normal"/>
    <w:next w:val="Normal"/>
    <w:qFormat/>
    <w:pPr>
      <w:keepNext w:val="true"/>
      <w:numPr>
        <w:ilvl w:val="3"/>
        <w:numId w:val="1"/>
      </w:numPr>
      <w:spacing w:before="240" w:after="60"/>
      <w:outlineLvl w:val="3"/>
    </w:pPr>
    <w:rPr>
      <w:i/>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St39z0">
    <w:name w:val="WW8NumSt39z0"/>
    <w:qFormat/>
    <w:rPr>
      <w:rFonts w:ascii="Symbol" w:hAnsi="Symbol" w:cs="Symbol"/>
      <w:sz w:val="28"/>
    </w:rPr>
  </w:style>
  <w:style w:type="character" w:styleId="WW8NumSt43z1">
    <w:name w:val="WW8NumSt43z1"/>
    <w:qFormat/>
    <w:rPr/>
  </w:style>
  <w:style w:type="character" w:styleId="WW8NumSt43z2">
    <w:name w:val="WW8NumSt43z2"/>
    <w:qFormat/>
    <w:rPr/>
  </w:style>
  <w:style w:type="character" w:styleId="WW8NumSt43z3">
    <w:name w:val="WW8NumSt43z3"/>
    <w:qFormat/>
    <w:rPr/>
  </w:style>
  <w:style w:type="character" w:styleId="WW8NumSt43z4">
    <w:name w:val="WW8NumSt43z4"/>
    <w:qFormat/>
    <w:rPr/>
  </w:style>
  <w:style w:type="character" w:styleId="WW8NumSt43z5">
    <w:name w:val="WW8NumSt43z5"/>
    <w:qFormat/>
    <w:rPr/>
  </w:style>
  <w:style w:type="character" w:styleId="WW8NumSt43z6">
    <w:name w:val="WW8NumSt43z6"/>
    <w:qFormat/>
    <w:rPr/>
  </w:style>
  <w:style w:type="character" w:styleId="WW8NumSt43z7">
    <w:name w:val="WW8NumSt43z7"/>
    <w:qFormat/>
    <w:rPr/>
  </w:style>
  <w:style w:type="character" w:styleId="WW8NumSt43z8">
    <w:name w:val="WW8NumSt43z8"/>
    <w:qFormat/>
    <w:rPr/>
  </w:style>
  <w:style w:type="character" w:styleId="DefaultParagraphFont">
    <w:name w:val="Default Paragraph Font"/>
    <w:qFormat/>
    <w:rPr/>
  </w:style>
  <w:style w:type="character" w:styleId="PageNumber">
    <w:name w:val="Page Number"/>
    <w:basedOn w:val="DefaultParagraphFont"/>
    <w:rPr/>
  </w:style>
  <w:style w:type="character" w:styleId="Buffer">
    <w:name w:val="Buffer"/>
    <w:basedOn w:val="DefaultParagraphFont"/>
    <w:qFormat/>
    <w:rPr/>
  </w:style>
  <w:style w:type="character" w:styleId="Nietafbreken">
    <w:name w:val="Niet afbreken"/>
    <w:basedOn w:val="DefaultParagraphFont"/>
    <w:qFormat/>
    <w:rPr>
      <w:lang w:val="en-US" w:eastAsia="en-US"/>
    </w:rPr>
  </w:style>
  <w:style w:type="character" w:styleId="Dkwadraat">
    <w:name w:val="d-kwadraat"/>
    <w:qFormat/>
    <w:rPr>
      <w:spacing w:val="40"/>
      <w:sz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tabs>
        <w:tab w:val="center" w:pos="4394" w:leader="none"/>
        <w:tab w:val="right" w:pos="8789" w:leader="none"/>
      </w:tabs>
      <w:suppressAutoHyphens w:val="true"/>
      <w:spacing w:lineRule="exact" w:line="280" w:before="60" w:after="60"/>
    </w:pPr>
    <w:rPr>
      <w:i/>
      <w:sz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jc w:val="center"/>
    </w:pPr>
    <w:rPr>
      <w:smallCaps/>
      <w:kern w:val="2"/>
      <w:sz w:val="24"/>
    </w:rPr>
  </w:style>
  <w:style w:type="paragraph" w:styleId="Hoofdrijtabel">
    <w:name w:val="Hoofdrij tabel"/>
    <w:basedOn w:val="Normal"/>
    <w:qFormat/>
    <w:pPr>
      <w:spacing w:lineRule="auto" w:line="240" w:before="60" w:after="60"/>
      <w:jc w:val="center"/>
    </w:pPr>
    <w:rPr/>
  </w:style>
  <w:style w:type="paragraph" w:styleId="Tabel">
    <w:name w:val="Tabel"/>
    <w:basedOn w:val="Normal"/>
    <w:qFormat/>
    <w:pPr>
      <w:jc w:val="center"/>
    </w:pPr>
    <w:rPr/>
  </w:style>
  <w:style w:type="paragraph" w:styleId="Tabelbeschrijving">
    <w:name w:val="Tabelbeschrijving"/>
    <w:basedOn w:val="Normal"/>
    <w:qFormat/>
    <w:pPr>
      <w:keepNext w:val="true"/>
      <w:suppressAutoHyphens w:val="true"/>
      <w:spacing w:lineRule="exact" w:line="300" w:before="0" w:after="120"/>
    </w:pPr>
    <w:rPr>
      <w:i/>
      <w:sz w:val="24"/>
    </w:rPr>
  </w:style>
  <w:style w:type="paragraph" w:styleId="Plaatsingfiguur">
    <w:name w:val="Plaatsing figuur"/>
    <w:next w:val="Caption"/>
    <w:qFormat/>
    <w:pPr>
      <w:widowControl/>
      <w:jc w:val="center"/>
    </w:pPr>
    <w:rPr>
      <w:rFonts w:ascii="Times New Roman" w:hAnsi="Times New Roman" w:eastAsia="Times New Roman" w:cs="Times New Roman"/>
      <w:color w:val="auto"/>
      <w:sz w:val="20"/>
      <w:szCs w:val="20"/>
      <w:lang w:val="en-US" w:eastAsia="zh-CN" w:bidi="hi-IN"/>
    </w:rPr>
  </w:style>
  <w:style w:type="paragraph" w:styleId="Vergelijking">
    <w:name w:val="Vergelijking"/>
    <w:basedOn w:val="Normal"/>
    <w:next w:val="Normal"/>
    <w:qFormat/>
    <w:pPr>
      <w:keepNext w:val="true"/>
      <w:keepLines/>
      <w:tabs>
        <w:tab w:val="center" w:pos="4394" w:leader="none"/>
        <w:tab w:val="right" w:pos="8789" w:leader="none"/>
      </w:tabs>
      <w:spacing w:lineRule="atLeast" w:line="240" w:before="120" w:after="120"/>
    </w:pPr>
    <w:rPr/>
  </w:style>
  <w:style w:type="paragraph" w:styleId="Notebijtabel">
    <w:name w:val="Note bij tabel"/>
    <w:basedOn w:val="Normal"/>
    <w:qFormat/>
    <w:pPr>
      <w:spacing w:lineRule="exact" w:line="240" w:before="0" w:after="60"/>
      <w:jc w:val="left"/>
    </w:pPr>
    <w:rPr>
      <w:sz w:val="20"/>
    </w:rPr>
  </w:style>
  <w:style w:type="paragraph" w:styleId="TitelproefschriftEngels">
    <w:name w:val="Titel proefschrift (Engels)"/>
    <w:basedOn w:val="Normal"/>
    <w:qFormat/>
    <w:pPr>
      <w:suppressAutoHyphens w:val="true"/>
      <w:spacing w:lineRule="exact" w:line="360"/>
      <w:jc w:val="center"/>
    </w:pPr>
    <w:rPr>
      <w:b/>
      <w:caps/>
      <w:spacing w:val="-2"/>
      <w:kern w:val="2"/>
      <w:sz w:val="32"/>
    </w:rPr>
  </w:style>
  <w:style w:type="paragraph" w:styleId="Bibliography">
    <w:name w:val="Bibliography"/>
    <w:basedOn w:val="Normal"/>
    <w:qFormat/>
    <w:pPr>
      <w:keepNext w:val="true"/>
      <w:keepLines/>
      <w:suppressAutoHyphens w:val="true"/>
      <w:spacing w:lineRule="exact" w:line="280"/>
      <w:ind w:left="425" w:hanging="425"/>
      <w:jc w:val="left"/>
    </w:pPr>
    <w:rPr>
      <w:sz w:val="24"/>
      <w:lang w:val="en-US"/>
    </w:rPr>
  </w:style>
  <w:style w:type="paragraph" w:styleId="Auteurs">
    <w:name w:val="Auteurs"/>
    <w:basedOn w:val="Normal"/>
    <w:qFormat/>
    <w:pPr>
      <w:suppressAutoHyphens w:val="true"/>
      <w:jc w:val="right"/>
    </w:pPr>
    <w:rPr/>
  </w:style>
  <w:style w:type="paragraph" w:styleId="Tijdschrift">
    <w:name w:val="Tijdschrift"/>
    <w:basedOn w:val="Normal"/>
    <w:qFormat/>
    <w:pPr>
      <w:suppressAutoHyphens w:val="true"/>
    </w:pPr>
    <w:rPr/>
  </w:style>
  <w:style w:type="paragraph" w:styleId="SubtitelproefschrijftEngels">
    <w:name w:val="Subtitel proefschrijft (Engels)"/>
    <w:basedOn w:val="Normal"/>
    <w:qFormat/>
    <w:pPr>
      <w:suppressAutoHyphens w:val="true"/>
      <w:spacing w:lineRule="exact" w:line="500"/>
      <w:jc w:val="center"/>
    </w:pPr>
    <w:rPr>
      <w:caps/>
      <w:spacing w:val="-2"/>
      <w:kern w:val="2"/>
      <w:sz w:val="28"/>
    </w:rPr>
  </w:style>
  <w:style w:type="paragraph" w:styleId="TitelproefschriftNederlands">
    <w:name w:val="Titel proefschrift (Nederlands)"/>
    <w:basedOn w:val="TitelproefschriftEngels"/>
    <w:qFormat/>
    <w:pPr/>
    <w:rPr>
      <w:b w:val="false"/>
      <w:sz w:val="28"/>
      <w:lang w:val="nl-NL"/>
    </w:rPr>
  </w:style>
  <w:style w:type="paragraph" w:styleId="SubtitelproefschriftNederlands">
    <w:name w:val="Subtitel proefschrift (Nederlands)"/>
    <w:basedOn w:val="SubtitelproefschrijftEngels"/>
    <w:qFormat/>
    <w:pPr/>
    <w:rPr>
      <w:sz w:val="24"/>
      <w:lang w:val="nl-NL"/>
    </w:rPr>
  </w:style>
  <w:style w:type="paragraph" w:styleId="Terverkrijging">
    <w:name w:val="Ter verkrijging..."/>
    <w:basedOn w:val="Normal"/>
    <w:qFormat/>
    <w:pPr>
      <w:suppressAutoHyphens w:val="true"/>
      <w:spacing w:lineRule="exact" w:line="480"/>
      <w:ind w:left="1701" w:right="1701" w:hanging="0"/>
      <w:jc w:val="center"/>
    </w:pPr>
    <w:rPr>
      <w:lang w:val="nl-NL"/>
    </w:rPr>
  </w:style>
  <w:style w:type="paragraph" w:styleId="Contents3">
    <w:name w:val="TOC 3"/>
    <w:basedOn w:val="Normal"/>
    <w:next w:val="Normal"/>
    <w:pPr>
      <w:ind w:left="480" w:hanging="0"/>
    </w:pPr>
    <w:rPr>
      <w:i/>
    </w:rPr>
  </w:style>
  <w:style w:type="paragraph" w:styleId="Contents1">
    <w:name w:val="TOC 1"/>
    <w:basedOn w:val="Normal"/>
    <w:next w:val="Normal"/>
    <w:pPr>
      <w:tabs>
        <w:tab w:val="right" w:pos="17010" w:leader="none"/>
      </w:tabs>
      <w:ind w:left="238" w:right="238" w:hanging="238"/>
    </w:pPr>
    <w:rPr>
      <w:b/>
      <w:spacing w:val="-4"/>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thesis.dot</Template>
  <TotalTime>2</TotalTime>
  <Application>LibreOffice/6.0.7.3$Linux_X86_64 LibreOffice_project/00m0$Build-3</Application>
  <Pages>25</Pages>
  <Words>5934</Words>
  <Characters>31786</Characters>
  <CharactersWithSpaces>37398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1999-09-06T09:28:00Z</dcterms:created>
  <dc:creator>Marcel Hekking</dc:creator>
  <dc:description/>
  <dc:language>en-US</dc:language>
  <cp:lastModifiedBy>Marcel Hekking</cp:lastModifiedBy>
  <dcterms:modified xsi:type="dcterms:W3CDTF">1999-09-06T10:08:00Z</dcterms:modified>
  <cp:revision>2</cp:revision>
  <dc:subject/>
  <dc:title>1. Defining a bivariate reference region on a 2-D acid-base data set</dc:title>
</cp:coreProperties>
</file>