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eurs"/>
        <w:rPr/>
      </w:pPr>
      <w:r>
        <w:rPr>
          <w:rStyle w:val="Buffer"/>
        </w:rPr>
        <w:t>M</w:t>
      </w:r>
      <w:r>
        <w:rPr/>
        <w:t xml:space="preserve">arcel Hekking, Edzard S. Gelsema, Jan Lindemans </w:t>
      </w:r>
    </w:p>
    <w:p>
      <w:pPr>
        <w:pStyle w:val="Auteurs"/>
        <w:rPr/>
      </w:pPr>
      <w:r>
        <w:rPr/>
      </w:r>
    </w:p>
    <w:p>
      <w:pPr>
        <w:pStyle w:val="Auteurs"/>
        <w:rPr/>
      </w:pPr>
      <w:r>
        <w:rPr/>
      </w:r>
    </w:p>
    <w:p>
      <w:pPr>
        <w:pStyle w:val="Tijdschrift"/>
        <w:rPr/>
      </w:pPr>
      <w:r>
        <w:rPr>
          <w:rStyle w:val="Buffer"/>
        </w:rPr>
        <w:t>P</w:t>
      </w:r>
      <w:r>
        <w:rPr/>
        <w:t>arts are published in: Clinical Biochemistry 1995; 6:581–585</w:t>
      </w:r>
    </w:p>
    <w:p>
      <w:pPr>
        <w:pStyle w:val="Tijdschrift"/>
        <w:rPr/>
      </w:pPr>
      <w:r>
        <w:rPr/>
      </w:r>
    </w:p>
    <w:p>
      <w:pPr>
        <w:pStyle w:val="Tijdschrift"/>
        <w:rPr/>
      </w:pPr>
      <w:r>
        <w:rPr/>
      </w:r>
    </w:p>
    <w:p>
      <w:pPr>
        <w:pStyle w:val="Tijdschrift"/>
        <w:rPr/>
      </w:pPr>
      <w:r>
        <w:rPr/>
      </w:r>
    </w:p>
    <w:p>
      <w:pPr>
        <w:pStyle w:val="Caption"/>
        <w:rPr/>
      </w:pPr>
      <w:bookmarkStart w:id="0" w:name="_Ref422794869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1" w:name="__Fieldmark__11_4042815248"/>
      <w:r>
        <w:rPr>
          <w:lang w:val="en-US"/>
        </w:rPr>
        <w:t>4</w:t>
      </w:r>
      <w:r>
        <w:rPr>
          <w:lang w:val="en-US"/>
        </w:rPr>
      </w:r>
      <w:r>
        <w:rPr/>
        <w:fldChar w:fldCharType="end"/>
      </w:r>
      <w:bookmarkEnd w:id="1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. The joint distribution of two hypothetical standard normal univariate distributions. The correlation coefficient r between both variables has been set to 0.8. Projections of horizontal cross-sections at the 5% probability density level yield two types of reference regions: the square and the ellipse. Differences between these regions are explained further in </w:t>
      </w:r>
      <w:r>
        <w:rPr/>
        <w:fldChar w:fldCharType="begin"/>
      </w:r>
      <w:r>
        <w:rPr/>
        <w:instrText> REF _Ref403899767 \h </w:instrText>
      </w:r>
      <w:r>
        <w:rPr/>
        <w:fldChar w:fldCharType="separate"/>
      </w:r>
      <w:r>
        <w:rPr/>
        <w:t>Figure  4 –2</w:t>
      </w:r>
      <w:r>
        <w:rPr/>
        <w:fldChar w:fldCharType="end"/>
      </w:r>
      <w:r>
        <w:rPr/>
        <w:t>.</w:t>
      </w:r>
    </w:p>
    <w:p>
      <w:pPr>
        <w:pStyle w:val="Caption"/>
        <w:rPr/>
      </w:pPr>
      <w:r>
        <w:rPr/>
      </w:r>
    </w:p>
    <w:p>
      <w:pPr>
        <w:pStyle w:val="Caption"/>
        <w:rPr/>
      </w:pPr>
      <w:bookmarkStart w:id="2" w:name="_Ref403899767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3" w:name="__Fieldmark__13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3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2</w:t>
      </w:r>
      <w:r>
        <w:rPr>
          <w:rStyle w:val="Buffer"/>
        </w:rPr>
        <w:fldChar w:fldCharType="end"/>
      </w:r>
      <w:bookmarkEnd w:id="2"/>
      <w:r>
        <w:rPr>
          <w:rStyle w:val="Buffer"/>
        </w:rPr>
        <w:t xml:space="preserve">. Discrepancy between a multiple univariate reference region and a single multivariate reference region. Plotted horizontally and vertically are the probability densities of analyte 1 and 2 of </w:t>
      </w:r>
      <w:r>
        <w:rPr>
          <w:rStyle w:val="Buffer"/>
        </w:rPr>
        <w:fldChar w:fldCharType="begin"/>
      </w:r>
      <w:r>
        <w:rPr>
          <w:rStyle w:val="Buffer"/>
        </w:rPr>
        <w:instrText> REF _Ref422794869 \h </w:instrText>
      </w:r>
      <w:r>
        <w:rPr>
          <w:rStyle w:val="Buffer"/>
        </w:rPr>
        <w:fldChar w:fldCharType="separate"/>
      </w:r>
      <w:r>
        <w:rPr>
          <w:rStyle w:val="Buffer"/>
        </w:rPr>
        <w:t>Figure  4 –1</w:t>
      </w:r>
      <w:r>
        <w:rPr>
          <w:rStyle w:val="Buffer"/>
        </w:rPr>
        <w:fldChar w:fldCharType="end"/>
      </w:r>
      <w:r>
        <w:rPr>
          <w:rStyle w:val="Buffer"/>
        </w:rPr>
        <w:t xml:space="preserve">, respectively. Using the region enclosed by the two univariate reference intervals as a reference region, observations 1 and 2 are a false negative and a false positive observation, respectively when the 95% reference ellipse is taken as the standard </w:t>
      </w:r>
      <w:r>
        <w:fldChar w:fldCharType="begin"/>
      </w:r>
      <w:r>
        <w:rPr>
          <w:rStyle w:val="Buffer"/>
        </w:rPr>
        <w:instrText> ADDIN ENRf8 _x0001_</w:instrText>
      </w:r>
      <w:r>
        <w:rPr>
          <w:rStyle w:val="Buffer"/>
        </w:rPr>
        <w:fldChar w:fldCharType="separate"/>
      </w:r>
      <w:bookmarkStart w:id="4" w:name="__Fieldmark__14_4042815248"/>
      <w:r>
        <w:rPr>
          <w:rStyle w:val="Buffer"/>
        </w:rPr>
        <w:t>[7, 20]</w:t>
      </w:r>
      <w:r>
        <w:rPr>
          <w:rStyle w:val="Buffer"/>
        </w:rPr>
      </w:r>
      <w:r>
        <w:rPr>
          <w:rStyle w:val="Buffer"/>
        </w:rPr>
        <w:fldChar w:fldCharType="end"/>
      </w:r>
      <w:bookmarkEnd w:id="4"/>
      <w:r>
        <w:rPr>
          <w:rStyle w:val="Buffer"/>
        </w:rPr>
        <w:t>.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5" w:name="_Ref403899529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6" w:name="__Fieldmark__21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6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3</w:t>
      </w:r>
      <w:r>
        <w:rPr>
          <w:rStyle w:val="Buffer"/>
        </w:rPr>
        <w:fldChar w:fldCharType="end"/>
      </w:r>
      <w:bookmarkEnd w:id="5"/>
      <w:r>
        <w:rPr>
          <w:rStyle w:val="Buffer"/>
        </w:rPr>
        <w:t xml:space="preserve">. The standard deviation correction factor (CF) at 24 specific </w:t>
      </w:r>
      <w:r>
        <w:rPr>
          <w:rStyle w:val="Buffer"/>
          <w:rFonts w:eastAsia="Symbol" w:cs="Symbol" w:ascii="Symbol" w:hAnsi="Symbol"/>
        </w:rPr>
        <w:t></w:t>
      </w:r>
      <w:r>
        <w:rPr>
          <w:rStyle w:val="Buffer"/>
          <w:vertAlign w:val="superscript"/>
        </w:rPr>
        <w:t>2</w:t>
      </w:r>
      <w:r>
        <w:rPr>
          <w:rStyle w:val="Buffer"/>
        </w:rPr>
        <w:t xml:space="preserve"> cut-off fractiles for a bivariate Gaussian distribution.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7" w:name="_Ref403897709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8" w:name="__Fieldmark__22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8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4</w:t>
      </w:r>
      <w:r>
        <w:rPr>
          <w:rStyle w:val="Buffer"/>
        </w:rPr>
        <w:fldChar w:fldCharType="end"/>
      </w:r>
      <w:bookmarkEnd w:id="7"/>
      <w:r>
        <w:rPr>
          <w:rStyle w:val="Buffer"/>
        </w:rPr>
        <w:t>. Flow-chart of trimming procedure to determine the background model parameters in a bivariate distribution of patient data. CF is the correction factor for the estimated standard deviations and KS stands for the size-adjusted Kolmogorov-Smirnov test. See text for further explanation.</w:t>
      </w:r>
    </w:p>
    <w:p>
      <w:pPr>
        <w:pStyle w:val="Caption"/>
        <w:rPr>
          <w:rStyle w:val="Buffer"/>
        </w:rPr>
      </w:pPr>
      <w:r>
        <w:rPr/>
      </w:r>
    </w:p>
    <w:p>
      <w:pPr>
        <w:pStyle w:val="Tabelbeschrijving"/>
        <w:rPr/>
      </w:pPr>
      <w:bookmarkStart w:id="9" w:name="_Ref403896597"/>
      <w:r>
        <w:rPr>
          <w:rStyle w:val="Buffer"/>
          <w:lang w:val="en-US"/>
        </w:rPr>
        <w:t xml:space="preserve">Table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0" w:name="__Fieldmark__30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0"/>
      <w:r>
        <w:rPr>
          <w:rStyle w:val="Buffer"/>
          <w:lang w:val="en-US"/>
        </w:rPr>
        <w:t>–</w:t>
      </w:r>
      <w:r>
        <w:rPr>
          <w:rStyle w:val="Buffer"/>
          <w:lang w:val="en-US"/>
        </w:rPr>
        <w:fldChar w:fldCharType="begin"/>
      </w:r>
      <w:r>
        <w:rPr>
          <w:rStyle w:val="Buffer"/>
        </w:rPr>
        <w:instrText> SEQ Table \* ARABIC </w:instrText>
      </w:r>
      <w:r>
        <w:rPr>
          <w:rStyle w:val="Buffer"/>
        </w:rPr>
        <w:fldChar w:fldCharType="separate"/>
      </w:r>
      <w:r>
        <w:rPr>
          <w:rStyle w:val="Buffer"/>
        </w:rPr>
        <w:t>1</w:t>
      </w:r>
      <w:r>
        <w:rPr>
          <w:rStyle w:val="Buffer"/>
        </w:rPr>
        <w:fldChar w:fldCharType="end"/>
      </w:r>
      <w:bookmarkEnd w:id="9"/>
      <w:r>
        <w:rPr>
          <w:rStyle w:val="Buffer"/>
        </w:rPr>
        <w:t>. Distribution characteristics (m is mean, s is standard deviation and r is Pearson’s product correlation coefficient between PC1' and PC2') after trimming.</w:t>
      </w:r>
    </w:p>
    <w:p>
      <w:pPr>
        <w:pStyle w:val="Tabelbeschrijving"/>
        <w:rPr>
          <w:rStyle w:val="Buffer"/>
        </w:rPr>
      </w:pPr>
      <w:r>
        <w:rPr/>
      </w:r>
    </w:p>
    <w:p>
      <w:pPr>
        <w:pStyle w:val="Caption"/>
        <w:rPr/>
      </w:pPr>
      <w:bookmarkStart w:id="11" w:name="_Ref426430108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2" w:name="__Fieldmark__29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2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5</w:t>
      </w:r>
      <w:r>
        <w:rPr>
          <w:rStyle w:val="Buffer"/>
        </w:rPr>
        <w:fldChar w:fldCharType="end"/>
      </w:r>
      <w:bookmarkEnd w:id="11"/>
      <w:r>
        <w:rPr>
          <w:rStyle w:val="Buffer"/>
        </w:rPr>
        <w:t xml:space="preserve">. Fit of the observed cumulative probabilities of the remaining </w:t>
      </w:r>
      <w:r>
        <w:rPr>
          <w:rStyle w:val="Dkwadraat"/>
        </w:rPr>
        <w:t>d</w:t>
      </w:r>
      <w:r>
        <w:rPr>
          <w:rStyle w:val="Dkwadraat"/>
          <w:i/>
          <w:vertAlign w:val="superscript"/>
        </w:rPr>
        <w:t>2</w:t>
      </w:r>
      <w:r>
        <w:rPr>
          <w:rStyle w:val="Buffer"/>
        </w:rPr>
        <w:t xml:space="preserve">values of the trimmed </w:t>
      </w:r>
      <w:r>
        <w:rPr>
          <w:rStyle w:val="Nietafbreken"/>
        </w:rPr>
        <w:t>ELIbe</w:t>
      </w:r>
      <w:r>
        <w:rPr>
          <w:rStyle w:val="Buffer"/>
        </w:rPr>
        <w:t xml:space="preserve"> data set (thick line) with the theoretical cumulative </w:t>
      </w:r>
      <w:r>
        <w:rPr>
          <w:rStyle w:val="Dkwadraat"/>
          <w:rFonts w:eastAsia="Symbol" w:cs="Symbol" w:ascii="Symbol" w:hAnsi="Symbol"/>
          <w:sz w:val="24"/>
        </w:rPr>
        <w:t></w:t>
      </w:r>
      <w:r>
        <w:rPr>
          <w:rStyle w:val="Dkwadraat"/>
          <w:i/>
          <w:sz w:val="24"/>
          <w:vertAlign w:val="superscript"/>
        </w:rPr>
        <w:t>2</w:t>
      </w:r>
      <w:r>
        <w:rPr>
          <w:rStyle w:val="Buffer"/>
        </w:rPr>
        <w:t>(2) probability distribution (thin line). P is the cumulative probability. *D</w:t>
      </w:r>
      <w:r>
        <w:rPr>
          <w:rStyle w:val="Buffer"/>
          <w:vertAlign w:val="subscript"/>
        </w:rPr>
        <w:t>max</w:t>
      </w:r>
      <w:r>
        <w:rPr>
          <w:rStyle w:val="Buffer"/>
        </w:rPr>
        <w:t xml:space="preserve"> is the test statistic of the adapted and size-adjusted Kolmogorov-Smirnov test, indicating the degree of fit of the </w:t>
      </w:r>
      <w:r>
        <w:rPr>
          <w:rStyle w:val="Dkwadraat"/>
        </w:rPr>
        <w:t>d</w:t>
      </w:r>
      <w:r>
        <w:rPr>
          <w:rStyle w:val="Dkwadraat"/>
          <w:i/>
          <w:vertAlign w:val="superscript"/>
        </w:rPr>
        <w:t>2</w:t>
      </w:r>
      <w:r>
        <w:rPr>
          <w:rStyle w:val="Buffer"/>
        </w:rPr>
        <w:t>values with the theoretical distribution. In this case there is not enough evidence (p &gt; 0.05) to reject the H</w:t>
      </w:r>
      <w:r>
        <w:rPr>
          <w:rStyle w:val="Buffer"/>
          <w:vertAlign w:val="subscript"/>
        </w:rPr>
        <w:t>o</w:t>
      </w:r>
      <w:r>
        <w:rPr>
          <w:rStyle w:val="Buffer"/>
        </w:rPr>
        <w:t>-hypothesis of fit.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13" w:name="_Ref426429482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4" w:name="__Fieldmark__31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4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6</w:t>
      </w:r>
      <w:r>
        <w:rPr>
          <w:rStyle w:val="Buffer"/>
        </w:rPr>
        <w:fldChar w:fldCharType="end"/>
      </w:r>
      <w:bookmarkEnd w:id="13"/>
      <w:r>
        <w:rPr>
          <w:rStyle w:val="Buffer"/>
        </w:rPr>
        <w:t xml:space="preserve">. The 30% equal probability ellipse (inner ellipse) and the 95% equal probability ellipse (outer ellipse) for the </w:t>
      </w:r>
      <w:r>
        <w:rPr>
          <w:rStyle w:val="Nietafbreken"/>
        </w:rPr>
        <w:t>ELIbe</w:t>
      </w:r>
      <w:r>
        <w:rPr>
          <w:rStyle w:val="Buffer"/>
        </w:rPr>
        <w:t xml:space="preserve"> data set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r>
        <w:rPr>
          <w:rStyle w:val="Buffer"/>
        </w:rPr>
        <w:t xml:space="preserve">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5" w:name="__Fieldmark__35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5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7</w:t>
      </w:r>
      <w:r>
        <w:rPr>
          <w:rStyle w:val="Buffer"/>
        </w:rPr>
        <w:fldChar w:fldCharType="end"/>
      </w:r>
      <w:r>
        <w:rPr>
          <w:rStyle w:val="Buffer"/>
        </w:rPr>
        <w:t>. The 30% equal probability ellipse (inner ellipse) and the 95% equal probability ellips</w:t>
      </w:r>
    </w:p>
    <w:p>
      <w:pPr>
        <w:pStyle w:val="Caption"/>
        <w:rPr/>
      </w:pPr>
      <w:bookmarkStart w:id="16" w:name="_Ref426430240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7" w:name="__Fieldmark__33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7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8</w:t>
      </w:r>
      <w:r>
        <w:rPr>
          <w:rStyle w:val="Buffer"/>
        </w:rPr>
        <w:fldChar w:fldCharType="end"/>
      </w:r>
      <w:bookmarkEnd w:id="16"/>
      <w:r>
        <w:rPr>
          <w:rStyle w:val="Buffer"/>
        </w:rPr>
        <w:t xml:space="preserve">. The 30% equal probability ellipse (inner ellipse) and the 95% equal probability ellipse (outer ellipse) for the </w:t>
      </w:r>
      <w:r>
        <w:rPr>
          <w:rStyle w:val="Nietafbreken"/>
        </w:rPr>
        <w:t>OLVGbe</w:t>
      </w:r>
      <w:r>
        <w:rPr>
          <w:rStyle w:val="Buffer"/>
        </w:rPr>
        <w:t xml:space="preserve"> data set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18" w:name="_Ref426430300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19" w:name="__Fieldmark__42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19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9</w:t>
      </w:r>
      <w:r>
        <w:rPr>
          <w:rStyle w:val="Buffer"/>
        </w:rPr>
        <w:fldChar w:fldCharType="end"/>
      </w:r>
      <w:bookmarkEnd w:id="18"/>
      <w:r>
        <w:rPr>
          <w:rStyle w:val="Buffer"/>
        </w:rPr>
        <w:t xml:space="preserve">. The 30% equal probability ellipse (inner ellipse) and the 95% equal probability ellipse (outer ellipse) for the </w:t>
      </w:r>
      <w:r>
        <w:rPr>
          <w:rStyle w:val="Nietafbreken"/>
          <w:lang w:val="en-GB"/>
        </w:rPr>
        <w:t>SKZbe</w:t>
      </w:r>
      <w:r>
        <w:rPr>
          <w:rStyle w:val="Buffer"/>
        </w:rPr>
        <w:t xml:space="preserve"> data set.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20" w:name="_Ref426430391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21" w:name="__Fieldmark__45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21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10</w:t>
      </w:r>
      <w:r>
        <w:rPr>
          <w:rStyle w:val="Buffer"/>
        </w:rPr>
        <w:fldChar w:fldCharType="end"/>
      </w:r>
      <w:bookmarkEnd w:id="20"/>
      <w:r>
        <w:rPr>
          <w:rStyle w:val="Buffer"/>
        </w:rPr>
        <w:t xml:space="preserve">. The 30% equal probability ellipse (inner ellipse) and the 95% equal probability ellipse (outer ellipse) for the </w:t>
      </w:r>
      <w:r>
        <w:rPr>
          <w:rStyle w:val="Nietafbreken"/>
        </w:rPr>
        <w:t>ELIab</w:t>
      </w:r>
      <w:r>
        <w:rPr>
          <w:rStyle w:val="Buffer"/>
        </w:rPr>
        <w:t xml:space="preserve"> data set.</w:t>
      </w:r>
    </w:p>
    <w:p>
      <w:pPr>
        <w:pStyle w:val="Caption"/>
        <w:rPr>
          <w:rStyle w:val="Buffer"/>
        </w:rPr>
      </w:pPr>
      <w:r>
        <w:rPr/>
      </w:r>
    </w:p>
    <w:p>
      <w:pPr>
        <w:pStyle w:val="Caption"/>
        <w:rPr/>
      </w:pPr>
      <w:bookmarkStart w:id="22" w:name="_Ref426429493"/>
      <w:r>
        <w:rPr>
          <w:rStyle w:val="Buffer"/>
        </w:rPr>
        <w:t xml:space="preserve">Figure </w:t>
      </w:r>
      <w:r>
        <w:fldChar w:fldCharType="begin"/>
      </w:r>
      <w:r>
        <w:rPr>
          <w:rStyle w:val="Buffer"/>
        </w:rPr>
        <w:instrText> STYLEREF 1 \s </w:instrText>
      </w:r>
      <w:r>
        <w:rPr>
          <w:rStyle w:val="Buffer"/>
        </w:rPr>
        <w:fldChar w:fldCharType="separate"/>
      </w:r>
      <w:bookmarkStart w:id="23" w:name="__Fieldmark__49_4042815248"/>
      <w:r>
        <w:rPr>
          <w:rStyle w:val="Buffer"/>
          <w:lang w:val="en-US"/>
        </w:rPr>
        <w:t>4</w:t>
      </w:r>
      <w:r>
        <w:rPr>
          <w:rStyle w:val="Buffer"/>
          <w:lang w:val="en-US"/>
        </w:rPr>
      </w:r>
      <w:r>
        <w:rPr>
          <w:rStyle w:val="Buffer"/>
        </w:rPr>
        <w:fldChar w:fldCharType="end"/>
      </w:r>
      <w:bookmarkEnd w:id="23"/>
      <w:r>
        <w:rPr>
          <w:rStyle w:val="Buffer"/>
        </w:rPr>
        <w:t>–</w:t>
      </w:r>
      <w:r>
        <w:rPr>
          <w:rStyle w:val="Buffer"/>
        </w:rPr>
        <w:fldChar w:fldCharType="begin"/>
      </w:r>
      <w:r>
        <w:rPr>
          <w:rStyle w:val="Buffer"/>
        </w:rPr>
        <w:instrText> SEQ Figure \* ARABIC </w:instrText>
      </w:r>
      <w:r>
        <w:rPr>
          <w:rStyle w:val="Buffer"/>
        </w:rPr>
        <w:fldChar w:fldCharType="separate"/>
      </w:r>
      <w:r>
        <w:rPr>
          <w:rStyle w:val="Buffer"/>
        </w:rPr>
        <w:t>11</w:t>
      </w:r>
      <w:r>
        <w:rPr>
          <w:rStyle w:val="Buffer"/>
        </w:rPr>
        <w:fldChar w:fldCharType="end"/>
      </w:r>
      <w:bookmarkEnd w:id="22"/>
      <w:r>
        <w:rPr>
          <w:rStyle w:val="Buffer"/>
        </w:rPr>
        <w:t xml:space="preserve">. The 30% equal probability ellipse (inner ellipse) and the 95% equal probability ellipse (outer ellipse) for the </w:t>
      </w:r>
      <w:r>
        <w:rPr>
          <w:rStyle w:val="Nietafbreken"/>
          <w:lang w:val="en-GB"/>
        </w:rPr>
        <w:t>OLVGab</w:t>
      </w:r>
      <w:r>
        <w:rPr>
          <w:rStyle w:val="Buffer"/>
        </w:rPr>
        <w:t xml:space="preserve"> data set.</w:t>
      </w:r>
      <w:r>
        <w:br w:type="page"/>
      </w:r>
    </w:p>
    <w:p>
      <w:pPr>
        <w:pStyle w:val="Caption"/>
        <w:spacing w:before="120" w:after="120"/>
        <w:rPr>
          <w:rStyle w:val="Buffe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ffer">
    <w:name w:val="Buffer"/>
    <w:basedOn w:val="DefaultParagraphFont"/>
    <w:qFormat/>
    <w:rPr/>
  </w:style>
  <w:style w:type="character" w:styleId="Dkwadraat">
    <w:name w:val="d-kwadraat"/>
    <w:qFormat/>
    <w:rPr>
      <w:spacing w:val="40"/>
      <w:sz w:val="28"/>
    </w:rPr>
  </w:style>
  <w:style w:type="character" w:styleId="Nietafbreken">
    <w:name w:val="Niet afbreken"/>
    <w:basedOn w:val="DefaultParagraphFont"/>
    <w:qFormat/>
    <w:rPr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teurs">
    <w:name w:val="Auteurs"/>
    <w:basedOn w:val="Normal"/>
    <w:qFormat/>
    <w:pPr>
      <w:suppressAutoHyphens w:val="true"/>
      <w:jc w:val="right"/>
    </w:pPr>
    <w:rPr/>
  </w:style>
  <w:style w:type="paragraph" w:styleId="Tijdschrift">
    <w:name w:val="Tijdschrift"/>
    <w:basedOn w:val="Normal"/>
    <w:qFormat/>
    <w:pPr>
      <w:suppressAutoHyphens w:val="true"/>
    </w:pPr>
    <w:rPr/>
  </w:style>
  <w:style w:type="paragraph" w:styleId="Tabelbeschrijving">
    <w:name w:val="Tabelbeschrijving"/>
    <w:basedOn w:val="Normal"/>
    <w:qFormat/>
    <w:pPr>
      <w:keepNext w:val="true"/>
      <w:suppressAutoHyphens w:val="true"/>
      <w:spacing w:lineRule="exact" w:line="300" w:before="0" w:after="120"/>
    </w:pPr>
    <w:rPr>
      <w:i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473</Words>
  <Characters>2474</Characters>
  <CharactersWithSpaces>2893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2020-05-12T08:23:03Z</dcterms:created>
  <dc:creator/>
  <dc:description/>
  <dc:language>en-US</dc:language>
  <cp:lastModifiedBy/>
  <dcterms:modified xsi:type="dcterms:W3CDTF">2020-05-12T08:28:04Z</dcterms:modified>
  <cp:revision>1</cp:revision>
  <dc:subject/>
  <dc:title/>
</cp:coreProperties>
</file>