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rPr>
          <w:b/>
        </w:rPr>
        <w:t xml:space="preserve">Computational methods and computer program descriptions</w:t>
      </w:r>
      <w:r>
        <w:t xml:space="preserve"> </w:t>
      </w:r>
      <w:r>
        <w:t xml:space="preserve">===========================================================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1.  Introduction</w:t>
      </w:r>
      <w:r>
        <w:br/>
      </w:r>
      <w:r>
        <w:rPr>
          <w:rStyle w:val="VerbatimChar"/>
        </w:rPr>
        <w:t xml:space="preserve">    ------------</w:t>
      </w:r>
    </w:p>
    <w:p>
      <w:pPr>
        <w:pStyle w:val="FirstParagraph"/>
      </w:pPr>
      <w:r>
        <w:t xml:space="preserve">The calculation of patient-based multivariate acid-base reference</w:t>
      </w:r>
      <w:r>
        <w:t xml:space="preserve"> </w:t>
      </w:r>
      <w:r>
        <w:t xml:space="preserve">regions with the methods described in the preceding chapters and the</w:t>
      </w:r>
      <w:r>
        <w:t xml:space="preserve"> </w:t>
      </w:r>
      <w:r>
        <w:t xml:space="preserve">plotting of acid-base trajectories of ICU patients in the tri-axial</w:t>
      </w:r>
      <w:r>
        <w:t xml:space="preserve"> </w:t>
      </w:r>
      <w:r>
        <w:t xml:space="preserve">chart have been implemented in two separate prototype computer programs.</w:t>
      </w:r>
      <w:r>
        <w:t xml:space="preserve"> </w:t>
      </w:r>
      <w:r>
        <w:t xml:space="preserve">These programs are ABTRANS (Acid-Base TRANSformation system) and ABCHART</w:t>
      </w:r>
      <w:r>
        <w:t xml:space="preserve"> </w:t>
      </w:r>
      <w:r>
        <w:t xml:space="preserve">(Acid-Base CHARTing system). Both programs implement the theory and</w:t>
      </w:r>
      <w:r>
        <w:t xml:space="preserve"> </w:t>
      </w:r>
      <w:r>
        <w:t xml:space="preserve">associated equations presented in the preceding chapters. Based on the</w:t>
      </w:r>
      <w:r>
        <w:t xml:space="preserve"> </w:t>
      </w:r>
      <w:r>
        <w:t xml:space="preserve">output of the ABTRANS program, ABCHART can plot acid-base observations</w:t>
      </w:r>
      <w:r>
        <w:t xml:space="preserve"> </w:t>
      </w:r>
      <w:r>
        <w:t xml:space="preserve">of ICU patients in a tri-axial chart, calculate Mahalanobis-distances</w:t>
      </w:r>
      <w:r>
        <w:t xml:space="preserve"> </w:t>
      </w:r>
      <w:r>
        <w:t xml:space="preserve">and make acid-base classifications according to the vector method</w:t>
      </w:r>
      <w:r>
        <w:t xml:space="preserve"> </w:t>
      </w:r>
      <w:r>
        <w:t xml:space="preserve">described in Chapter Error: Reference source not found. Typically, for a</w:t>
      </w:r>
      <w:r>
        <w:t xml:space="preserve"> </w:t>
      </w:r>
      <w:r>
        <w:t xml:space="preserve">given ICU the ABTRANS program is used once, while the ABCHART program is</w:t>
      </w:r>
      <w:r>
        <w:t xml:space="preserve"> </w:t>
      </w:r>
      <w:r>
        <w:t xml:space="preserve">subsequently used in a monitoring fashion, while making use of the</w:t>
      </w:r>
      <w:r>
        <w:t xml:space="preserve"> </w:t>
      </w:r>
      <w:r>
        <w:t xml:space="preserve">information generated by the ABTRANS program.</w:t>
      </w:r>
    </w:p>
    <w:p>
      <w:pPr>
        <w:pStyle w:val="BodyText"/>
      </w:pPr>
      <w:r>
        <w:t xml:space="preserve">In this chapter, the two prototype computer programs and the associated</w:t>
      </w:r>
      <w:r>
        <w:t xml:space="preserve"> </w:t>
      </w:r>
      <w:r>
        <w:t xml:space="preserve">computational methods will be described in detail. Both computer</w:t>
      </w:r>
      <w:r>
        <w:t xml:space="preserve"> </w:t>
      </w:r>
      <w:r>
        <w:t xml:space="preserve">programs were developed for the Microsoft</w:t>
      </w:r>
      <w:r>
        <w:rPr>
          <w:vertAlign w:val="superscript"/>
        </w:rPr>
        <w:t xml:space="preserve">®</w:t>
      </w:r>
      <w:r>
        <w:t xml:space="preserve"> </w:t>
      </w:r>
      <w:r>
        <w:t xml:space="preserve">Windows platform with the</w:t>
      </w:r>
      <w:r>
        <w:t xml:space="preserve"> </w:t>
      </w:r>
      <w:r>
        <w:t xml:space="preserve">use of Microsoft’s VISUAL BASIC™ 3.0, Professional Edition (VB). The</w:t>
      </w:r>
      <w:r>
        <w:t xml:space="preserve"> </w:t>
      </w:r>
      <w:r>
        <w:t xml:space="preserve">programs were developed on a 66 MHz 80486 personal computer (PC) with 12</w:t>
      </w:r>
      <w:r>
        <w:t xml:space="preserve"> </w:t>
      </w:r>
      <w:r>
        <w:t xml:space="preserve">megabytes of internal memory and require Microsoft</w:t>
      </w:r>
      <w:r>
        <w:rPr>
          <w:vertAlign w:val="superscript"/>
        </w:rPr>
        <w:t xml:space="preserve">®</w:t>
      </w:r>
      <w:r>
        <w:t xml:space="preserve"> </w:t>
      </w:r>
      <w:r>
        <w:t xml:space="preserve">Windows 3.0 or</w:t>
      </w:r>
      <w:r>
        <w:t xml:space="preserve"> </w:t>
      </w:r>
      <w:r>
        <w:t xml:space="preserve">higher [1]. VB is a rapid application development tool that enables a</w:t>
      </w:r>
      <w:r>
        <w:t xml:space="preserve"> </w:t>
      </w:r>
      <w:r>
        <w:t xml:space="preserve">fast development of event driven programs with a graphical user</w:t>
      </w:r>
      <w:r>
        <w:t xml:space="preserve"> </w:t>
      </w:r>
      <w:r>
        <w:t xml:space="preserve">interface. Special attention has been given to a friendly user-interface</w:t>
      </w:r>
      <w:r>
        <w:t xml:space="preserve"> </w:t>
      </w:r>
      <w:r>
        <w:t xml:space="preserve">for the ABCHART program since this program is to be used by ICU</w:t>
      </w:r>
      <w:r>
        <w:t xml:space="preserve"> </w:t>
      </w:r>
      <w:r>
        <w:t xml:space="preserve">personnel.</w:t>
      </w:r>
    </w:p>
    <w:p>
      <w:pPr>
        <w:pStyle w:val="Heading2"/>
      </w:pPr>
      <w:bookmarkStart w:id="20" w:name="the-implementation-of-numerical-routines"/>
      <w:r>
        <w:t xml:space="preserve">The implementation of numerical routines</w:t>
      </w:r>
      <w:bookmarkEnd w:id="20"/>
    </w:p>
    <w:p>
      <w:pPr>
        <w:pStyle w:val="FirstParagraph"/>
      </w:pPr>
      <w:r>
        <w:t xml:space="preserve">The mathematical techniques used in both computer programs require a</w:t>
      </w:r>
      <w:r>
        <w:t xml:space="preserve"> </w:t>
      </w:r>
      <w:r>
        <w:t xml:space="preserve">number of special numerical procedures. Rather than develop these</w:t>
      </w:r>
      <w:r>
        <w:t xml:space="preserve"> </w:t>
      </w:r>
      <w:r>
        <w:t xml:space="preserve">numerical routines within VB from scratch, a numerical routine library</w:t>
      </w:r>
      <w:r>
        <w:t xml:space="preserve"> </w:t>
      </w:r>
      <w:r>
        <w:t xml:space="preserve">(</w:t>
      </w:r>
      <w:r>
        <w:rPr>
          <w:i/>
        </w:rPr>
        <w:t xml:space="preserve">Numerical Recipes in C. The Art of Scientific Computing</w:t>
      </w:r>
      <w:r>
        <w:t xml:space="preserve">) was used</w:t>
      </w:r>
      <w:r>
        <w:t xml:space="preserve"> </w:t>
      </w:r>
      <w:r>
        <w:t xml:space="preserve">[2]. This library provided the necessary numerical routines in C. With</w:t>
      </w:r>
      <w:r>
        <w:t xml:space="preserve"> </w:t>
      </w:r>
      <w:r>
        <w:t xml:space="preserve">the use of the Borland</w:t>
      </w:r>
      <w:r>
        <w:rPr>
          <w:vertAlign w:val="superscript"/>
        </w:rPr>
        <w:t xml:space="preserve">®</w:t>
      </w:r>
      <w:r>
        <w:t xml:space="preserve"> </w:t>
      </w:r>
      <w:r>
        <w:t xml:space="preserve">C</w:t>
      </w:r>
      <w:r>
        <w:rPr>
          <w:vertAlign w:val="superscript"/>
        </w:rPr>
        <w:t xml:space="preserve">++</w:t>
      </w:r>
      <w:r>
        <w:t xml:space="preserve"> </w:t>
      </w:r>
      <w:r>
        <w:t xml:space="preserve">compiler version 4.5 [3], these</w:t>
      </w:r>
      <w:r>
        <w:t xml:space="preserve"> </w:t>
      </w:r>
      <w:r>
        <w:t xml:space="preserve">routines were compiled into machine language and stored in a</w:t>
      </w:r>
      <w:r>
        <w:t xml:space="preserve"> </w:t>
      </w:r>
      <w:r>
        <w:t xml:space="preserve">dynamic-link-library (DLL). Within VB, the functions and procedures</w:t>
      </w:r>
      <w:r>
        <w:t xml:space="preserve"> </w:t>
      </w:r>
      <w:r>
        <w:t xml:space="preserve">stored in the DLL file were declared according to the standard</w:t>
      </w:r>
      <w:r>
        <w:t xml:space="preserve"> </w:t>
      </w:r>
      <w:r>
        <w:t xml:space="preserve">declaration syntax of VB, making them available in the VB programming</w:t>
      </w:r>
      <w:r>
        <w:t xml:space="preserve"> </w:t>
      </w:r>
      <w:r>
        <w:t xml:space="preserve">environment.</w:t>
      </w:r>
    </w:p>
    <w:p>
      <w:pPr>
        <w:pStyle w:val="BodyText"/>
      </w:pPr>
      <w:r>
        <w:t xml:space="preserve">Linking these ready-made compiled numerical routines to the programs had</w:t>
      </w:r>
      <w:r>
        <w:t xml:space="preserve"> </w:t>
      </w:r>
      <w:r>
        <w:t xml:space="preserve">some major advantages: the routines are reliable and highly efficient,</w:t>
      </w:r>
      <w:r>
        <w:t xml:space="preserve"> </w:t>
      </w:r>
      <w:r>
        <w:t xml:space="preserve">no extensive programming or debugging was needed, and routines in</w:t>
      </w:r>
      <w:r>
        <w:t xml:space="preserve"> </w:t>
      </w:r>
      <w:r>
        <w:t xml:space="preserve">compiled DLLs are faster than routines written in VB. Table 5 –1</w:t>
      </w:r>
      <w:r>
        <w:t xml:space="preserve"> </w:t>
      </w:r>
      <w:r>
        <w:t xml:space="preserve">summarises the most relevant numerical routines that are used in the</w:t>
      </w:r>
      <w:r>
        <w:t xml:space="preserve"> </w:t>
      </w:r>
      <w:r>
        <w:t xml:space="preserve">ABTRANS and ABCHART computer programs.</w:t>
      </w:r>
    </w:p>
    <w:p>
      <w:pPr>
        <w:pStyle w:val="Heading2"/>
      </w:pPr>
      <w:bookmarkStart w:id="21" w:name="the-abtrans-program"/>
      <w:r>
        <w:t xml:space="preserve">The ABTRANS program</w:t>
      </w:r>
      <w:bookmarkEnd w:id="21"/>
    </w:p>
    <w:p>
      <w:pPr>
        <w:pStyle w:val="FirstParagraph"/>
      </w:pPr>
      <w:r>
        <w:t xml:space="preserve">ABTRANS is a software tool for:</w:t>
      </w:r>
    </w:p>
    <w:p>
      <w:pPr>
        <w:pStyle w:val="BodyText"/>
      </w:pPr>
      <w:r>
        <w:t xml:space="preserve">1. performing a principal component analysis (PCA) of a large data set</w:t>
      </w:r>
      <w:r>
        <w:t xml:space="preserve"> </w:t>
      </w:r>
      <w:r>
        <w:t xml:space="preserve">of acid-base data;</w:t>
      </w:r>
    </w:p>
    <w:p>
      <w:pPr>
        <w:pStyle w:val="BodyText"/>
      </w:pPr>
      <w:r>
        <w:t xml:space="preserve">2. determining a valid bivariate reference model on the resulting</w:t>
      </w:r>
      <w:r>
        <w:t xml:space="preserve"> </w:t>
      </w:r>
      <w:r>
        <w:t xml:space="preserve">rotated principal components PC1' and PC2';</w:t>
      </w:r>
    </w:p>
    <w:p>
      <w:pPr>
        <w:pStyle w:val="BodyText"/>
      </w:pPr>
      <w:r>
        <w:t xml:space="preserve">3. defining the graphical outlines of the associated tri-axial chart.</w:t>
      </w:r>
    </w:p>
    <w:p>
      <w:pPr>
        <w:pStyle w:val="BodyText"/>
      </w:pPr>
      <w:r>
        <w:t xml:space="preserve">Numerical routines used in ABTRANS include: calculating means, standard</w:t>
      </w:r>
      <w:r>
        <w:t xml:space="preserve"> </w:t>
      </w:r>
      <w:r>
        <w:t xml:space="preserve">deviations, correlation coefficients, eigenvalue transformations,</w:t>
      </w:r>
      <w:r>
        <w:t xml:space="preserve"> </w:t>
      </w:r>
      <w:r>
        <w:t xml:space="preserve">inverting variance-covariance matrices and goodness-of-fit testing.</w:t>
      </w:r>
    </w:p>
    <w:p>
      <w:pPr>
        <w:pStyle w:val="BodyText"/>
      </w:pPr>
      <w:r>
        <w:t xml:space="preserve">ABTRANS is a single-windowed application that provides the user with a</w:t>
      </w:r>
      <w:r>
        <w:t xml:space="preserve"> </w:t>
      </w:r>
      <w:r>
        <w:t xml:space="preserve">stepwise approach to these functions. At the left hand side of the</w:t>
      </w:r>
      <w:r>
        <w:t xml:space="preserve"> </w:t>
      </w:r>
      <w:r>
        <w:t xml:space="preserve">window, the different steps in the analysis are displayed. Each step can</w:t>
      </w:r>
      <w:r>
        <w:t xml:space="preserve"> </w:t>
      </w:r>
      <w:r>
        <w:t xml:space="preserve">be activated by pressing the associated button (see Figure 5 –1). At</w:t>
      </w:r>
      <w:r>
        <w:t xml:space="preserve"> </w:t>
      </w:r>
      <w:r>
        <w:t xml:space="preserve">the right hand side of the window, the results of each step are</w:t>
      </w:r>
      <w:r>
        <w:t xml:space="preserve"> </w:t>
      </w:r>
      <w:r>
        <w:t xml:space="preserve">displayed. The results can also be sent to a printer. Completing a whole</w:t>
      </w:r>
      <w:r>
        <w:t xml:space="preserve"> </w:t>
      </w:r>
      <w:r>
        <w:t xml:space="preserve">cycle of calculations involves the following five steps:</w:t>
      </w:r>
    </w:p>
    <w:p>
      <w:pPr>
        <w:pStyle w:val="BodyText"/>
      </w:pPr>
      <w:r>
        <w:t xml:space="preserve">1. importing an ICU patient acid-base data</w:t>
      </w:r>
      <w:r>
        <w:t xml:space="preserve"> </w:t>
      </w:r>
      <w:r>
        <w:t xml:space="preserve">set;</w:t>
      </w:r>
    </w:p>
    <w:p>
      <w:pPr>
        <w:pStyle w:val="BodyText"/>
      </w:pPr>
      <w:r>
        <w:t xml:space="preserve">2. mapping imported variables to fixed internal variables;</w:t>
      </w:r>
    </w:p>
    <w:p>
      <w:pPr>
        <w:pStyle w:val="BodyText"/>
      </w:pPr>
      <w:r>
        <w:t xml:space="preserve">3. standardising acid-base values;</w:t>
      </w:r>
    </w:p>
    <w:p>
      <w:pPr>
        <w:pStyle w:val="BodyText"/>
      </w:pPr>
      <w:r>
        <w:t xml:space="preserve">4. performing a principal component analysis (PCA), constructing a</w:t>
      </w:r>
      <w:r>
        <w:t xml:space="preserve"> </w:t>
      </w:r>
      <w:r>
        <w:t xml:space="preserve">bivariate reference region on the PC1'-PC2' distributions and defining</w:t>
      </w:r>
      <w:r>
        <w:t xml:space="preserve"> </w:t>
      </w:r>
      <w:r>
        <w:t xml:space="preserve">the graphical outlines of the tri-axial chart;</w:t>
      </w:r>
    </w:p>
    <w:p>
      <w:pPr>
        <w:pStyle w:val="BodyText"/>
      </w:pPr>
      <w:r>
        <w:t xml:space="preserve">5. transferring the results of the previous operations to a special</w:t>
      </w:r>
      <w:r>
        <w:t xml:space="preserve"> </w:t>
      </w:r>
      <w:r>
        <w:t xml:space="preserve">Windows initialisation file (ini-file).</w:t>
      </w:r>
    </w:p>
    <w:p>
      <w:pPr>
        <w:pStyle w:val="Heading3"/>
      </w:pPr>
      <w:bookmarkStart w:id="22" w:name="importing-an-acid-base-data-set-step-1"/>
      <w:r>
        <w:t xml:space="preserve">Importing an acid-base data set (step 1)</w:t>
      </w:r>
      <w:bookmarkEnd w:id="22"/>
    </w:p>
    <w:p>
      <w:pPr>
        <w:pStyle w:val="FirstParagraph"/>
      </w:pPr>
      <w:r>
        <w:t xml:space="preserve">A session starts by importing a tab-separated, comma-separated or</w:t>
      </w:r>
      <w:r>
        <w:t xml:space="preserve"> </w:t>
      </w:r>
      <w:r>
        <w:t xml:space="preserve">space-separated ASCII-file containing the acid-base variables on which</w:t>
      </w:r>
      <w:r>
        <w:t xml:space="preserve"> </w:t>
      </w:r>
      <w:r>
        <w:t xml:space="preserve">the bivariate reference region and the chart are to be designed.</w:t>
      </w:r>
      <w:r>
        <w:t xml:space="preserve"> </w:t>
      </w:r>
      <w:r>
        <w:t xml:space="preserve">Typically, such a file consists of 500 or more acid-base measurements.</w:t>
      </w:r>
    </w:p>
    <w:p>
      <w:pPr>
        <w:pStyle w:val="Heading3"/>
      </w:pPr>
      <w:bookmarkStart w:id="23" w:name="mapping-variables-step-2"/>
      <w:r>
        <w:t xml:space="preserve">Mapping variables (step 2)</w:t>
      </w:r>
      <w:bookmarkEnd w:id="23"/>
    </w:p>
    <w:p>
      <w:pPr>
        <w:pStyle w:val="FirstParagraph"/>
      </w:pPr>
      <w:r>
        <w:t xml:space="preserve">The imported data set may contain other variables than the necessary</w:t>
      </w:r>
      <w:r>
        <w:t xml:space="preserve"> </w:t>
      </w:r>
      <w:r>
        <w:t xml:space="preserve">acid-base variables. At this step the user can indicate which of the</w:t>
      </w:r>
      <w:r>
        <w:t xml:space="preserve"> </w:t>
      </w:r>
      <w:r>
        <w:t xml:space="preserve">imported variables are respectively pH, PaCO</w:t>
      </w:r>
      <w:r>
        <w:rPr>
          <w:vertAlign w:val="subscript"/>
        </w:rPr>
        <w:t xml:space="preserve">2</w:t>
      </w:r>
      <w:r>
        <w:t xml:space="preserve">,</w:t>
      </w:r>
      <w:r>
        <w:t xml:space="preserve"> </w:t>
      </w:r>
      <w:r>
        <w:t xml:space="preserve">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and/or Base Excess (BE). Moreover, a choice</w:t>
      </w:r>
      <w:r>
        <w:t xml:space="preserve"> </w:t>
      </w:r>
      <w:r>
        <w:t xml:space="preserve">can be made of which metabolic variable (a[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or</w:t>
      </w:r>
      <w:r>
        <w:t xml:space="preserve"> </w:t>
      </w:r>
      <w:r>
        <w:t xml:space="preserve">BE) is to be used in the model calculations. Hence, reference models and</w:t>
      </w:r>
      <w:r>
        <w:t xml:space="preserve"> </w:t>
      </w:r>
      <w:r>
        <w:t xml:space="preserve">tri-axial charts can be built on either the BE or the</w:t>
      </w:r>
      <w:r>
        <w:t xml:space="preserve"> </w:t>
      </w:r>
      <w:r>
        <w:t xml:space="preserve">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variable. Furthermore, the user can indicate</w:t>
      </w:r>
      <w:r>
        <w:t xml:space="preserve"> </w:t>
      </w:r>
      <w:r>
        <w:t xml:space="preserve">whether to use logarithms of PaCO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 or</w:t>
      </w:r>
      <w:r>
        <w:t xml:space="preserve"> </w:t>
      </w:r>
      <w:r>
        <w:t xml:space="preserve">the original measurements. When the acid-base variables are imported and</w:t>
      </w:r>
      <w:r>
        <w:t xml:space="preserve"> </w:t>
      </w:r>
      <w:r>
        <w:t xml:space="preserve">the choices are made, mean and standard deviations are calculated with</w:t>
      </w:r>
      <w:r>
        <w:t xml:space="preserve"> </w:t>
      </w:r>
      <w:r>
        <w:t xml:space="preserve">the routine</w:t>
      </w:r>
      <w:r>
        <w:t xml:space="preserve"> </w:t>
      </w:r>
      <w:r>
        <w:rPr>
          <w:i/>
        </w:rPr>
        <w:t xml:space="preserve">moments</w:t>
      </w:r>
      <w:r>
        <w:t xml:space="preserve"> </w:t>
      </w:r>
      <w:r>
        <w:t xml:space="preserve">(see Table 5 –1) and displayed.</w:t>
      </w:r>
    </w:p>
    <w:p>
      <w:pPr>
        <w:pStyle w:val="Heading3"/>
      </w:pPr>
      <w:bookmarkStart w:id="24" w:name="Xa985a8051b701dda9bf30a38dfc52445a59be8c"/>
      <w:r>
        <w:t xml:space="preserve">Standardising the acid-base variables (step 3)</w:t>
      </w:r>
      <w:bookmarkEnd w:id="24"/>
    </w:p>
    <w:p>
      <w:pPr>
        <w:pStyle w:val="FirstParagraph"/>
      </w:pPr>
      <w:r>
        <w:t xml:space="preserve">The next step involves the standardisation of the original acid-base</w:t>
      </w:r>
      <w:r>
        <w:t xml:space="preserve"> </w:t>
      </w:r>
      <w:r>
        <w:t xml:space="preserve">variables with a predefined set of means and standard deviations as</w:t>
      </w:r>
      <w:r>
        <w:t xml:space="preserve"> </w:t>
      </w:r>
      <w:r>
        <w:t xml:space="preserve">described in Chapter Error: Reference source not found. The program</w:t>
      </w:r>
      <w:r>
        <w:t xml:space="preserve"> </w:t>
      </w:r>
      <w:r>
        <w:t xml:space="preserve">shows a window with the means and standard deviations that are used for</w:t>
      </w:r>
      <w:r>
        <w:t xml:space="preserve"> </w:t>
      </w:r>
      <w:r>
        <w:t xml:space="preserve">the standardisation already filled in. The user can change these values.</w:t>
      </w:r>
    </w:p>
    <w:p>
      <w:pPr>
        <w:pStyle w:val="Heading3"/>
      </w:pPr>
      <w:bookmarkStart w:id="25" w:name="X945e6529770ad62333d6b46285a1931f87c32d3"/>
      <w:r>
        <w:t xml:space="preserve">Performing PCA, constructing a bivariate reference region and defining the graphical outlines of the tri-axial chart (step 4)</w:t>
      </w:r>
      <w:bookmarkEnd w:id="25"/>
    </w:p>
    <w:p>
      <w:pPr>
        <w:pStyle w:val="FirstParagraph"/>
      </w:pPr>
      <w:r>
        <w:t xml:space="preserve">In linear algebraic terms a principal component analysis (PCA) is an</w:t>
      </w:r>
      <w:r>
        <w:t xml:space="preserve"> </w:t>
      </w:r>
      <w:r>
        <w:t xml:space="preserve">eigenvalue transformation of the variance-covariance matrix of a</w:t>
      </w:r>
      <w:r>
        <w:t xml:space="preserve"> </w:t>
      </w:r>
      <w:r>
        <w:t xml:space="preserve">standardised multivariate data set. For the actual eigenvalue</w:t>
      </w:r>
      <w:r>
        <w:t xml:space="preserve"> </w:t>
      </w:r>
      <w:r>
        <w:t xml:space="preserve">transformation the routine</w:t>
      </w:r>
      <w:r>
        <w:t xml:space="preserve"> </w:t>
      </w:r>
      <w:r>
        <w:rPr>
          <w:i/>
        </w:rPr>
        <w:t xml:space="preserve">jacobi</w:t>
      </w:r>
      <w:r>
        <w:t xml:space="preserve"> </w:t>
      </w:r>
      <w:r>
        <w:t xml:space="preserve">of Table 5 –1 is used. The output</w:t>
      </w:r>
      <w:r>
        <w:t xml:space="preserve"> </w:t>
      </w:r>
      <w:r>
        <w:t xml:space="preserve">of this routine is a vector containing the eigenvalues and an</w:t>
      </w:r>
      <w:r>
        <w:t xml:space="preserve"> </w:t>
      </w:r>
      <w:r>
        <w:t xml:space="preserve">eigenmatrix the columns of which contain the normalised eigenvectors</w:t>
      </w:r>
      <w:r>
        <w:t xml:space="preserve"> </w:t>
      </w:r>
      <w:r>
        <w:t xml:space="preserve">(</w:t>
      </w:r>
      <w:r>
        <w:rPr>
          <w:i/>
        </w:rPr>
        <w:t xml:space="preserve">i.e.</w:t>
      </w:r>
      <w:r>
        <w:t xml:space="preserve"> </w:t>
      </w:r>
      <w:r>
        <w:t xml:space="preserve">the principal components). The routine</w:t>
      </w:r>
      <w:r>
        <w:t xml:space="preserve"> </w:t>
      </w:r>
      <w:r>
        <w:rPr>
          <w:i/>
        </w:rPr>
        <w:t xml:space="preserve">eigsrt</w:t>
      </w:r>
      <w:r>
        <w:t xml:space="preserve"> </w:t>
      </w:r>
      <w:r>
        <w:t xml:space="preserve">of Table 5 –1</w:t>
      </w:r>
      <w:r>
        <w:t xml:space="preserve"> </w:t>
      </w:r>
      <w:r>
        <w:t xml:space="preserve">is then used to sort the eigenvalues vector in descending order</w:t>
      </w:r>
      <w:r>
        <w:t xml:space="preserve"> </w:t>
      </w:r>
      <w:r>
        <w:t xml:space="preserve">(resulting in the eigenvalue vector ε of Chapter Error: Reference source</w:t>
      </w:r>
      <w:r>
        <w:t xml:space="preserve"> </w:t>
      </w:r>
      <w:r>
        <w:t xml:space="preserve">not found), while rearranging the columns of the eigenmatrix</w:t>
      </w:r>
      <w:r>
        <w:t xml:space="preserve"> </w:t>
      </w:r>
      <w:r>
        <w:t xml:space="preserve">correspondingly (resulting in the eigenmatrix U of Chapter Error:</w:t>
      </w:r>
      <w:r>
        <w:t xml:space="preserve"> </w:t>
      </w:r>
      <w:r>
        <w:t xml:space="preserve">Reference source not found).</w:t>
      </w:r>
    </w:p>
    <w:p>
      <w:pPr>
        <w:pStyle w:val="BodyText"/>
      </w:pPr>
      <w:r>
        <w:t xml:space="preserve">The product of U and a special rotation matrix, as described in Chapter</w:t>
      </w:r>
      <w:r>
        <w:t xml:space="preserve"> </w:t>
      </w:r>
      <w:r>
        <w:t xml:space="preserve">Error: Reference source not found, yields the final transformation</w:t>
      </w:r>
      <w:r>
        <w:t xml:space="preserve"> </w:t>
      </w:r>
      <w:r>
        <w:t xml:space="preserve">matrix T. Then, for all imported cases, the rotated principal components</w:t>
      </w:r>
      <w:r>
        <w:t xml:space="preserve"> </w:t>
      </w:r>
      <w:r>
        <w:t xml:space="preserve">(PC1', PC2' and PC3') are calculated using transformation matrix T.</w:t>
      </w:r>
    </w:p>
    <w:p>
      <w:pPr>
        <w:pStyle w:val="BodyText"/>
      </w:pPr>
      <w:r>
        <w:t xml:space="preserve">The resulting data set of rotated principal components PC1' and PC2'</w:t>
      </w:r>
      <w:r>
        <w:t xml:space="preserve"> </w:t>
      </w:r>
      <w:r>
        <w:t xml:space="preserve">are then input for the module that determines the bivariate reference</w:t>
      </w:r>
      <w:r>
        <w:t xml:space="preserve"> </w:t>
      </w:r>
      <w:r>
        <w:t xml:space="preserve">ellipse as described in Chapter Error: Reference source not found. For</w:t>
      </w:r>
      <w:r>
        <w:t xml:space="preserve"> </w:t>
      </w:r>
      <w:r>
        <w:t xml:space="preserve">the calculation of the squared Mahalanobis distances, the routine</w:t>
      </w:r>
      <w:r>
        <w:t xml:space="preserve"> </w:t>
      </w:r>
      <w:r>
        <w:rPr>
          <w:i/>
        </w:rPr>
        <w:t xml:space="preserve">invert</w:t>
      </w:r>
      <w:r>
        <w:t xml:space="preserve"> </w:t>
      </w:r>
      <w:r>
        <w:t xml:space="preserve">of Table 5 –1 was used for the determination of the inverse of</w:t>
      </w:r>
      <w:r>
        <w:t xml:space="preserve"> </w:t>
      </w:r>
      <w:r>
        <w:t xml:space="preserve">the variance-covariance matrix. For the adapted Kolmogorov-Smirnov</w:t>
      </w:r>
      <w:r>
        <w:t xml:space="preserve"> </w:t>
      </w:r>
      <w:r>
        <w:t xml:space="preserve">goodness-of-fit test, the routine s</w:t>
      </w:r>
      <w:r>
        <w:rPr>
          <w:i/>
        </w:rPr>
        <w:t xml:space="preserve">KS</w:t>
      </w:r>
      <w:r>
        <w:t xml:space="preserve"> </w:t>
      </w:r>
      <w:r>
        <w:t xml:space="preserve">of Table 5 –1 was used. The</w:t>
      </w:r>
      <w:r>
        <w:t xml:space="preserve"> </w:t>
      </w:r>
      <w:r>
        <w:t xml:space="preserve">routine</w:t>
      </w:r>
      <w:r>
        <w:t xml:space="preserve"> </w:t>
      </w:r>
      <w:r>
        <w:rPr>
          <w:i/>
        </w:rPr>
        <w:t xml:space="preserve">gammp</w:t>
      </w:r>
      <w:r>
        <w:t xml:space="preserve"> </w:t>
      </w:r>
      <w:r>
        <w:t xml:space="preserve">was used for the calculation of the cumulative</w:t>
      </w:r>
      <w:r>
        <w:t xml:space="preserve"> </w:t>
      </w:r>
      <w:r>
        <w:t xml:space="preserve">probabilities at specific χ</w:t>
      </w:r>
      <w:r>
        <w:rPr>
          <w:vertAlign w:val="superscript"/>
        </w:rPr>
        <w:t xml:space="preserve">2</w:t>
      </w:r>
      <w:r>
        <w:t xml:space="preserve">(2)-fractiles. For the correction of a</w:t>
      </w:r>
      <w:r>
        <w:t xml:space="preserve"> </w:t>
      </w:r>
      <w:r>
        <w:t xml:space="preserve">0.95 χ</w:t>
      </w:r>
      <w:r>
        <w:rPr>
          <w:vertAlign w:val="superscript"/>
        </w:rPr>
        <w:t xml:space="preserve">2</w:t>
      </w:r>
      <w:r>
        <w:t xml:space="preserve">(2)-fractile (Equation Error: Reference source not found), the</w:t>
      </w:r>
      <w:r>
        <w:t xml:space="preserve"> </w:t>
      </w:r>
      <w:r>
        <w:t xml:space="preserve">routine</w:t>
      </w:r>
      <w:r>
        <w:t xml:space="preserve"> </w:t>
      </w:r>
      <w:r>
        <w:rPr>
          <w:i/>
        </w:rPr>
        <w:t xml:space="preserve">betai</w:t>
      </w:r>
      <w:r>
        <w:t xml:space="preserve"> </w:t>
      </w:r>
      <w:r>
        <w:t xml:space="preserve">was used.</w:t>
      </w:r>
    </w:p>
    <w:p>
      <w:pPr>
        <w:pStyle w:val="BodyText"/>
      </w:pPr>
      <w:r>
        <w:t xml:space="preserve">Finally, the projections of the original acid-base axes, the univariate</w:t>
      </w:r>
      <w:r>
        <w:t xml:space="preserve"> </w:t>
      </w:r>
      <w:r>
        <w:t xml:space="preserve">reference hexagon, the Astrup and Siggaard-Andersen regions and the</w:t>
      </w:r>
      <w:r>
        <w:t xml:space="preserve"> </w:t>
      </w:r>
      <w:r>
        <w:t xml:space="preserve">disorder classification vectors in the tri-axial chart are determined.</w:t>
      </w:r>
    </w:p>
    <w:p>
      <w:pPr>
        <w:pStyle w:val="Heading3"/>
      </w:pPr>
      <w:bookmarkStart w:id="26" w:name="Xaf66e6de1edc0bf3a6dbcfa7c3c235c8c79456d"/>
      <w:r>
        <w:t xml:space="preserve">Saving results into the ABCHART initialisation file (step 5)</w:t>
      </w:r>
      <w:bookmarkEnd w:id="26"/>
    </w:p>
    <w:p>
      <w:pPr>
        <w:pStyle w:val="FirstParagraph"/>
      </w:pPr>
      <w:r>
        <w:t xml:space="preserve">In this last step, all calculated results are saved into the ABCHART</w:t>
      </w:r>
      <w:r>
        <w:t xml:space="preserve"> </w:t>
      </w:r>
      <w:r>
        <w:t xml:space="preserve">initialisation file. This initialisation file can be read by the ABCHART</w:t>
      </w:r>
      <w:r>
        <w:t xml:space="preserve"> </w:t>
      </w:r>
      <w:r>
        <w:t xml:space="preserve">program at start-up. The ABCHART program then uses the information</w:t>
      </w:r>
      <w:r>
        <w:t xml:space="preserve"> </w:t>
      </w:r>
      <w:r>
        <w:t xml:space="preserve">stored in the initialisation file to standardise, calculate rotated</w:t>
      </w:r>
      <w:r>
        <w:t xml:space="preserve"> </w:t>
      </w:r>
      <w:r>
        <w:t xml:space="preserve">principal components, squared Mahalanobis distances (Equation Error:</w:t>
      </w:r>
      <w:r>
        <w:t xml:space="preserve"> </w:t>
      </w:r>
      <w:r>
        <w:t xml:space="preserve">Reference source not found) and to graphically display the tri-axial</w:t>
      </w:r>
      <w:r>
        <w:t xml:space="preserve"> </w:t>
      </w:r>
      <w:r>
        <w:t xml:space="preserve">chart for new acid-base observations entered into the ABCHART program.</w:t>
      </w:r>
      <w:r>
        <w:t xml:space="preserve"> </w:t>
      </w:r>
      <w:r>
        <w:t xml:space="preserve">The following information is stored in the initialisation file:</w:t>
      </w:r>
    </w:p>
    <w:p>
      <w:pPr>
        <w:numPr>
          <w:ilvl w:val="0"/>
          <w:numId w:val="1002"/>
        </w:numPr>
      </w:pPr>
      <w:r>
        <w:t xml:space="preserve">means and standard deviations used for the standardisation as</w:t>
      </w:r>
      <w:r>
        <w:t xml:space="preserve"> </w:t>
      </w:r>
      <w:r>
        <w:t xml:space="preserve">defined in step 3;</w:t>
      </w:r>
    </w:p>
    <w:p>
      <w:pPr>
        <w:numPr>
          <w:ilvl w:val="0"/>
          <w:numId w:val="1002"/>
        </w:numPr>
      </w:pPr>
      <w:r>
        <w:t xml:space="preserve">the background model parameters (mean vector and variance-covariance</w:t>
      </w:r>
      <w:r>
        <w:t xml:space="preserve"> </w:t>
      </w:r>
      <w:r>
        <w:t xml:space="preserve">matrix);</w:t>
      </w:r>
    </w:p>
    <w:p>
      <w:pPr>
        <w:numPr>
          <w:ilvl w:val="0"/>
          <w:numId w:val="1002"/>
        </w:numPr>
      </w:pPr>
      <w:r>
        <w:t xml:space="preserve">elements of the transformation matrix T;</w:t>
      </w:r>
    </w:p>
    <w:p>
      <w:pPr>
        <w:numPr>
          <w:ilvl w:val="0"/>
          <w:numId w:val="1002"/>
        </w:numPr>
      </w:pPr>
      <w:r>
        <w:t xml:space="preserve">coordinate values of the unit vectors representing the original</w:t>
      </w:r>
      <w:r>
        <w:t xml:space="preserve"> </w:t>
      </w:r>
      <w:r>
        <w:t xml:space="preserve">acid-base axes;</w:t>
      </w:r>
    </w:p>
    <w:p>
      <w:pPr>
        <w:numPr>
          <w:ilvl w:val="0"/>
          <w:numId w:val="1002"/>
        </w:numPr>
      </w:pPr>
      <w:r>
        <w:t xml:space="preserve">coordinate values of the hexagon representing the 95% univariate</w:t>
      </w:r>
      <w:r>
        <w:t xml:space="preserve"> </w:t>
      </w:r>
      <w:r>
        <w:t xml:space="preserve">reference cube;</w:t>
      </w:r>
    </w:p>
    <w:p>
      <w:pPr>
        <w:numPr>
          <w:ilvl w:val="0"/>
          <w:numId w:val="1002"/>
        </w:numPr>
      </w:pPr>
      <w:r>
        <w:t xml:space="preserve">coordinate values of the unit vectors of the 12 disorders (see</w:t>
      </w:r>
      <w:r>
        <w:t xml:space="preserve"> </w:t>
      </w:r>
      <w:r>
        <w:t xml:space="preserve">Chapter Error: Reference source not found);</w:t>
      </w:r>
    </w:p>
    <w:p>
      <w:pPr>
        <w:numPr>
          <w:ilvl w:val="0"/>
          <w:numId w:val="1002"/>
        </w:numPr>
      </w:pPr>
      <w:r>
        <w:t xml:space="preserve">the metabolic variable (BE or 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]) on which</w:t>
      </w:r>
      <w:r>
        <w:t xml:space="preserve"> </w:t>
      </w:r>
      <w:r>
        <w:t xml:space="preserve">the model is based;</w:t>
      </w:r>
    </w:p>
    <w:p>
      <w:pPr>
        <w:numPr>
          <w:ilvl w:val="0"/>
          <w:numId w:val="1002"/>
        </w:numPr>
      </w:pPr>
      <w:r>
        <w:t xml:space="preserve">the unit of measurement for the partial pressures (mmHg or kPa);</w:t>
      </w:r>
    </w:p>
    <w:p>
      <w:pPr>
        <w:numPr>
          <w:ilvl w:val="0"/>
          <w:numId w:val="1002"/>
        </w:numPr>
      </w:pPr>
      <w:r>
        <w:t xml:space="preserve">whether or not the logarithm was used for PaCO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</w:t>
      </w:r>
      <w:r>
        <w:t xml:space="preserve"> </w:t>
      </w:r>
      <w:r>
        <w:t xml:space="preserve">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].</w:t>
      </w:r>
    </w:p>
    <w:p>
      <w:pPr>
        <w:pStyle w:val="FirstParagraph"/>
      </w:pPr>
      <w:r>
        <w:t xml:space="preserve">Each model can be given a unique name. When using the ABCHART program,</w:t>
      </w:r>
      <w:r>
        <w:t xml:space="preserve"> </w:t>
      </w:r>
      <w:r>
        <w:t xml:space="preserve">these model names can be listed so that a specific model can be chosen.</w:t>
      </w:r>
    </w:p>
    <w:p>
      <w:pPr>
        <w:pStyle w:val="Heading2"/>
      </w:pPr>
      <w:bookmarkStart w:id="27" w:name="the-abchart-program"/>
      <w:r>
        <w:t xml:space="preserve">The ABCHART program</w:t>
      </w:r>
      <w:bookmarkEnd w:id="27"/>
    </w:p>
    <w:p>
      <w:pPr>
        <w:pStyle w:val="FirstParagraph"/>
      </w:pPr>
      <w:r>
        <w:t xml:space="preserve">The ABCHART program is a database program in which patient information</w:t>
      </w:r>
      <w:r>
        <w:t xml:space="preserve"> </w:t>
      </w:r>
      <w:r>
        <w:t xml:space="preserve">and acid-base measurements can be stored. ABCHART uses the Microsoft</w:t>
      </w:r>
      <w:r>
        <w:t xml:space="preserve"> </w:t>
      </w:r>
      <w:r>
        <w:t xml:space="preserve">Access</w:t>
      </w:r>
      <w:r>
        <w:rPr>
          <w:vertAlign w:val="superscript"/>
        </w:rPr>
        <w:t xml:space="preserve"></w:t>
      </w:r>
      <w:r>
        <w:t xml:space="preserve"> </w:t>
      </w:r>
      <w:r>
        <w:t xml:space="preserve">relational database engine of VB to create and use</w:t>
      </w:r>
      <w:r>
        <w:t xml:space="preserve"> </w:t>
      </w:r>
      <w:r>
        <w:t xml:space="preserve">MS-Access</w:t>
      </w:r>
      <w:r>
        <w:rPr>
          <w:vertAlign w:val="superscript"/>
        </w:rPr>
        <w:t xml:space="preserve"></w:t>
      </w:r>
      <w:r>
        <w:t xml:space="preserve"> </w:t>
      </w:r>
      <w:r>
        <w:t xml:space="preserve">1.1 databases. The ABCHART database consists of three</w:t>
      </w:r>
      <w:r>
        <w:t xml:space="preserve"> </w:t>
      </w:r>
      <w:r>
        <w:t xml:space="preserve">tables. The table</w:t>
      </w:r>
      <w:r>
        <w:t xml:space="preserve"> </w:t>
      </w:r>
      <w:r>
        <w:rPr>
          <w:i/>
        </w:rPr>
        <w:t xml:space="preserve">Patient</w:t>
      </w:r>
      <w:r>
        <w:t xml:space="preserve"> </w:t>
      </w:r>
      <w:r>
        <w:t xml:space="preserve">stores patient related information such as</w:t>
      </w:r>
      <w:r>
        <w:t xml:space="preserve"> </w:t>
      </w:r>
      <w:r>
        <w:t xml:space="preserve">name, initials, date of birth and the patient identification. The table</w:t>
      </w:r>
      <w:r>
        <w:t xml:space="preserve"> </w:t>
      </w:r>
      <w:r>
        <w:rPr>
          <w:i/>
        </w:rPr>
        <w:t xml:space="preserve">Lab</w:t>
      </w:r>
      <w:r>
        <w:t xml:space="preserve"> </w:t>
      </w:r>
      <w:r>
        <w:t xml:space="preserve">holds information on the patient’s acid-base analyses such as date</w:t>
      </w:r>
      <w:r>
        <w:t xml:space="preserve"> </w:t>
      </w:r>
      <w:r>
        <w:t xml:space="preserve">and time of analysis, pH, PaCO</w:t>
      </w:r>
      <w:r>
        <w:rPr>
          <w:vertAlign w:val="subscript"/>
        </w:rPr>
        <w:t xml:space="preserve">2</w:t>
      </w:r>
      <w:r>
        <w:t xml:space="preserve">, 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], BE, PaO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oxygen saturation of arterial blood. The table</w:t>
      </w:r>
      <w:r>
        <w:t xml:space="preserve"> </w:t>
      </w:r>
      <w:r>
        <w:rPr>
          <w:i/>
        </w:rPr>
        <w:t xml:space="preserve">Model</w:t>
      </w:r>
      <w:r>
        <w:t xml:space="preserve"> </w:t>
      </w:r>
      <w:r>
        <w:t xml:space="preserve">holds the</w:t>
      </w:r>
      <w:r>
        <w:t xml:space="preserve"> </w:t>
      </w:r>
      <w:r>
        <w:t xml:space="preserve">model name that refers to one of the model names in the initialisation</w:t>
      </w:r>
      <w:r>
        <w:t xml:space="preserve"> </w:t>
      </w:r>
      <w:r>
        <w:t xml:space="preserve">file. Referential integrity between the tables is enforced within the</w:t>
      </w:r>
      <w:r>
        <w:t xml:space="preserve"> </w:t>
      </w:r>
      <w:r>
        <w:t xml:space="preserve">code of the program.</w:t>
      </w:r>
    </w:p>
    <w:p>
      <w:pPr>
        <w:pStyle w:val="BodyText"/>
      </w:pPr>
      <w:r>
        <w:t xml:space="preserve">ABCHART can function as a stand-alone program in which data is entered</w:t>
      </w:r>
      <w:r>
        <w:t xml:space="preserve"> </w:t>
      </w:r>
      <w:r>
        <w:t xml:space="preserve">manually. However, when installed on an ICU, a direct link can also be</w:t>
      </w:r>
      <w:r>
        <w:t xml:space="preserve"> </w:t>
      </w:r>
      <w:r>
        <w:t xml:space="preserve">established with a clinical chemistry laboratory for automatic</w:t>
      </w:r>
      <w:r>
        <w:t xml:space="preserve"> </w:t>
      </w:r>
      <w:r>
        <w:t xml:space="preserve">data-entry. This automatic data-entry facility is described in further</w:t>
      </w:r>
      <w:r>
        <w:t xml:space="preserve"> </w:t>
      </w:r>
      <w:r>
        <w:t xml:space="preserve">detail in section 1.4.5. The ABCHART program has four basic windows:</w:t>
      </w:r>
      <w:r>
        <w:t xml:space="preserve"> </w:t>
      </w:r>
      <w:r>
        <w:t xml:space="preserve">start-up window, patient data editing window, laboratory data editing</w:t>
      </w:r>
      <w:r>
        <w:t xml:space="preserve"> </w:t>
      </w:r>
      <w:r>
        <w:t xml:space="preserve">window and the chart window. All four windows will now be briefly</w:t>
      </w:r>
      <w:r>
        <w:t xml:space="preserve"> </w:t>
      </w:r>
      <w:r>
        <w:t xml:space="preserve">described.</w:t>
      </w:r>
    </w:p>
    <w:p>
      <w:pPr>
        <w:pStyle w:val="Heading3"/>
      </w:pPr>
      <w:bookmarkStart w:id="28" w:name="start-up-window"/>
      <w:r>
        <w:t xml:space="preserve">Start-up window</w:t>
      </w:r>
      <w:bookmarkEnd w:id="28"/>
    </w:p>
    <w:p>
      <w:pPr>
        <w:pStyle w:val="FirstParagraph"/>
      </w:pPr>
      <w:r>
        <w:t xml:space="preserve">At start-up, a window is displayed in which the following actions can be</w:t>
      </w:r>
      <w:r>
        <w:t xml:space="preserve"> </w:t>
      </w:r>
      <w:r>
        <w:t xml:space="preserve">taken:</w:t>
      </w:r>
    </w:p>
    <w:p>
      <w:pPr>
        <w:numPr>
          <w:ilvl w:val="0"/>
          <w:numId w:val="1003"/>
        </w:numPr>
      </w:pPr>
      <w:r>
        <w:t xml:space="preserve">creating or opening a specific ABCHART database with patient data;</w:t>
      </w:r>
    </w:p>
    <w:p>
      <w:pPr>
        <w:numPr>
          <w:ilvl w:val="0"/>
          <w:numId w:val="1003"/>
        </w:numPr>
      </w:pPr>
      <w:r>
        <w:t xml:space="preserve">choosing a model from the initialisation file;</w:t>
      </w:r>
    </w:p>
    <w:p>
      <w:pPr>
        <w:numPr>
          <w:ilvl w:val="0"/>
          <w:numId w:val="1003"/>
        </w:numPr>
      </w:pPr>
      <w:r>
        <w:t xml:space="preserve">setting model options;</w:t>
      </w:r>
    </w:p>
    <w:p>
      <w:pPr>
        <w:numPr>
          <w:ilvl w:val="0"/>
          <w:numId w:val="1003"/>
        </w:numPr>
      </w:pPr>
      <w:r>
        <w:t xml:space="preserve">setting general options such as font and font size of the charts;</w:t>
      </w:r>
    </w:p>
    <w:p>
      <w:pPr>
        <w:numPr>
          <w:ilvl w:val="0"/>
          <w:numId w:val="1003"/>
        </w:numPr>
      </w:pPr>
      <w:r>
        <w:t xml:space="preserve">switching to automatic data-entry mode.</w:t>
      </w:r>
    </w:p>
    <w:p>
      <w:pPr>
        <w:pStyle w:val="FirstParagraph"/>
      </w:pPr>
      <w:r>
        <w:t xml:space="preserve">Models and associated information can be selected and changed in a</w:t>
      </w:r>
      <w:r>
        <w:t xml:space="preserve"> </w:t>
      </w:r>
      <w:r>
        <w:t xml:space="preserve">separate model selection window. In this window, all model names from</w:t>
      </w:r>
      <w:r>
        <w:t xml:space="preserve"> </w:t>
      </w:r>
      <w:r>
        <w:t xml:space="preserve">the initialisation file will be listed and a choice can be made. Also,</w:t>
      </w:r>
      <w:r>
        <w:t xml:space="preserve"> </w:t>
      </w:r>
      <w:r>
        <w:t xml:space="preserve">in this section, the percentile of the reference ellipse to be displayed</w:t>
      </w:r>
      <w:r>
        <w:t xml:space="preserve"> </w:t>
      </w:r>
      <w:r>
        <w:t xml:space="preserve">in the tri-axial chart can be set, as well as the unit in which the</w:t>
      </w:r>
      <w:r>
        <w:t xml:space="preserve"> </w:t>
      </w:r>
      <w:r>
        <w:t xml:space="preserve">partial pressures PaCO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Pa</w:t>
      </w:r>
      <w:r>
        <w:rPr>
          <w:smallCaps/>
        </w:rPr>
        <w:t xml:space="preserve">O</w:t>
      </w:r>
      <w:r>
        <w:rPr>
          <w:vertAlign w:val="subscript"/>
        </w:rPr>
        <w:t xml:space="preserve">2</w:t>
      </w:r>
      <w:r>
        <w:t xml:space="preserve"> </w:t>
      </w:r>
      <w:r>
        <w:t xml:space="preserve">are measured (mmHg or</w:t>
      </w:r>
      <w:r>
        <w:t xml:space="preserve"> </w:t>
      </w:r>
      <w:r>
        <w:t xml:space="preserve">kPa).</w:t>
      </w:r>
    </w:p>
    <w:p>
      <w:pPr>
        <w:pStyle w:val="Heading3"/>
      </w:pPr>
      <w:bookmarkStart w:id="29" w:name="patient-data-editing-window"/>
      <w:r>
        <w:t xml:space="preserve">Patient data editing window</w:t>
      </w:r>
      <w:bookmarkEnd w:id="29"/>
    </w:p>
    <w:p>
      <w:pPr>
        <w:pStyle w:val="FirstParagraph"/>
      </w:pPr>
      <w:r>
        <w:t xml:space="preserve">In the patient selection and editing window, patients can be added to,</w:t>
      </w:r>
      <w:r>
        <w:t xml:space="preserve"> </w:t>
      </w:r>
      <w:r>
        <w:t xml:space="preserve">or deleted from, the database and existing data can be changed. When in</w:t>
      </w:r>
      <w:r>
        <w:t xml:space="preserve"> </w:t>
      </w:r>
      <w:r>
        <w:t xml:space="preserve">automatic data-entry mode, however, no data can be changed or deleted.</w:t>
      </w:r>
      <w:r>
        <w:t xml:space="preserve"> </w:t>
      </w:r>
      <w:r>
        <w:t xml:space="preserve">When installed in an ICU, only one person (typically someone from the</w:t>
      </w:r>
      <w:r>
        <w:t xml:space="preserve"> </w:t>
      </w:r>
      <w:r>
        <w:t xml:space="preserve">central clinical chemistry department) would be authorised to switch</w:t>
      </w:r>
      <w:r>
        <w:t xml:space="preserve"> </w:t>
      </w:r>
      <w:r>
        <w:t xml:space="preserve">from manual to automatic data-entry mode. From a list of patients in the</w:t>
      </w:r>
      <w:r>
        <w:t xml:space="preserve"> </w:t>
      </w:r>
      <w:r>
        <w:t xml:space="preserve">database, a patient can be selected to retrieve and display patient</w:t>
      </w:r>
      <w:r>
        <w:t xml:space="preserve"> </w:t>
      </w:r>
      <w:r>
        <w:t xml:space="preserve">information (see Figure 5 –2). Users can determine which patients in</w:t>
      </w:r>
      <w:r>
        <w:t xml:space="preserve"> </w:t>
      </w:r>
      <w:r>
        <w:t xml:space="preserve">the database are actually displayed in the patient list. In this way the</w:t>
      </w:r>
      <w:r>
        <w:t xml:space="preserve"> </w:t>
      </w:r>
      <w:r>
        <w:t xml:space="preserve">list of patients can be limited to those patients currently present on</w:t>
      </w:r>
      <w:r>
        <w:t xml:space="preserve"> </w:t>
      </w:r>
      <w:r>
        <w:t xml:space="preserve">the ICU, without actually removing patients from the database.</w:t>
      </w:r>
    </w:p>
    <w:p>
      <w:pPr>
        <w:pStyle w:val="Heading3"/>
      </w:pPr>
      <w:bookmarkStart w:id="30" w:name="laboratory-data-editing-window"/>
      <w:r>
        <w:t xml:space="preserve">Laboratory data editing window</w:t>
      </w:r>
      <w:bookmarkEnd w:id="30"/>
    </w:p>
    <w:p>
      <w:pPr>
        <w:pStyle w:val="FirstParagraph"/>
      </w:pPr>
      <w:r>
        <w:t xml:space="preserve">For a selected patient, the laboratory-editing window can be shown (see</w:t>
      </w:r>
      <w:r>
        <w:t xml:space="preserve"> </w:t>
      </w:r>
      <w:r>
        <w:t xml:space="preserve">Figure 5 –2). This window shows a list of all laboratory values of the</w:t>
      </w:r>
      <w:r>
        <w:t xml:space="preserve"> </w:t>
      </w:r>
      <w:r>
        <w:t xml:space="preserve">selected patient included in the database at that moment. Laboratory</w:t>
      </w:r>
      <w:r>
        <w:t xml:space="preserve"> </w:t>
      </w:r>
      <w:r>
        <w:t xml:space="preserve">values that can be saved in the database include pH, PaCO</w:t>
      </w:r>
      <w:r>
        <w:rPr>
          <w:vertAlign w:val="subscript"/>
        </w:rPr>
        <w:t xml:space="preserve">2</w:t>
      </w:r>
      <w:r>
        <w:t xml:space="preserve">, actual</w:t>
      </w:r>
      <w:r>
        <w:t xml:space="preserve"> </w:t>
      </w:r>
      <w:r>
        <w:t xml:space="preserve">bicarbonate concentration (a[</w:t>
      </w:r>
      <m:oMath>
        <m:sSubSup>
          <m:e>
            <m:r>
              <m:rPr>
                <m:nor/>
                <m:sty m:val="p"/>
              </m:rPr>
              <m:t>HCO</m:t>
            </m:r>
          </m:e>
          <m:sub>
            <m:r>
              <m:t>3</m:t>
            </m:r>
          </m:sub>
          <m:sup>
            <m:r>
              <m:t>−</m:t>
            </m:r>
          </m:sup>
        </m:sSubSup>
      </m:oMath>
      <w:r>
        <w:t xml:space="preserve">]), Base Excess,</w:t>
      </w:r>
      <w:r>
        <w:t xml:space="preserve"> </w:t>
      </w:r>
      <w:r>
        <w:t xml:space="preserve">PaO</w:t>
      </w:r>
      <w:r>
        <w:rPr>
          <w:vertAlign w:val="subscript"/>
        </w:rPr>
        <w:t xml:space="preserve">2</w:t>
      </w:r>
      <w:r>
        <w:t xml:space="preserve"> </w:t>
      </w:r>
      <w:r>
        <w:t xml:space="preserve">and O</w:t>
      </w:r>
      <w:r>
        <w:rPr>
          <w:vertAlign w:val="subscript"/>
        </w:rPr>
        <w:t xml:space="preserve">2</w:t>
      </w:r>
      <w:r>
        <w:t xml:space="preserve"> </w:t>
      </w:r>
      <w:r>
        <w:t xml:space="preserve">saturation. Laboratory values can be added or deleted</w:t>
      </w:r>
      <w:r>
        <w:t xml:space="preserve"> </w:t>
      </w:r>
      <w:r>
        <w:t xml:space="preserve">from the database or changed (only in the manual mode). Also, for each</w:t>
      </w:r>
      <w:r>
        <w:t xml:space="preserve"> </w:t>
      </w:r>
      <w:r>
        <w:t xml:space="preserve">set of laboratory values, the source (arterial or non-arterial) can be</w:t>
      </w:r>
      <w:r>
        <w:t xml:space="preserve"> </w:t>
      </w:r>
      <w:r>
        <w:t xml:space="preserve">indicated.</w:t>
      </w:r>
    </w:p>
    <w:p>
      <w:pPr>
        <w:pStyle w:val="Heading3"/>
      </w:pPr>
      <w:bookmarkStart w:id="31" w:name="charts-window"/>
      <w:r>
        <w:t xml:space="preserve">Charts window</w:t>
      </w:r>
      <w:bookmarkEnd w:id="31"/>
    </w:p>
    <w:p>
      <w:pPr>
        <w:pStyle w:val="FirstParagraph"/>
      </w:pPr>
      <w:r>
        <w:t xml:space="preserve">In this window, both the tri-axial chart with the data of a selected</w:t>
      </w:r>
      <w:r>
        <w:t xml:space="preserve"> </w:t>
      </w:r>
      <w:r>
        <w:t xml:space="preserve">patient is displayed (see Figure 5 –3) as well as the monitoring plot</w:t>
      </w:r>
      <w:r>
        <w:t xml:space="preserve"> </w:t>
      </w:r>
      <w:r>
        <w:t xml:space="preserve">of the Mahalanobis distance over time. Furthermore, the vectorial</w:t>
      </w:r>
      <w:r>
        <w:t xml:space="preserve"> </w:t>
      </w:r>
      <w:r>
        <w:t xml:space="preserve">classification of the selected acid-base observation is displayed. The</w:t>
      </w:r>
      <w:r>
        <w:t xml:space="preserve"> </w:t>
      </w:r>
      <w:r>
        <w:t xml:space="preserve">user can define the layout of the chart by setting several options. The</w:t>
      </w:r>
      <w:r>
        <w:t xml:space="preserve"> </w:t>
      </w:r>
      <w:r>
        <w:t xml:space="preserve">acid-base trajectory of a selected patient can be followed exactly by</w:t>
      </w:r>
      <w:r>
        <w:t xml:space="preserve"> </w:t>
      </w:r>
      <w:r>
        <w:t xml:space="preserve">advancing and retreating through the set of acid-base observations</w:t>
      </w:r>
      <w:r>
        <w:t xml:space="preserve"> </w:t>
      </w:r>
      <w:r>
        <w:t xml:space="preserve">pertinent to this patient.</w:t>
      </w:r>
    </w:p>
    <w:p>
      <w:pPr>
        <w:pStyle w:val="Heading3"/>
      </w:pPr>
      <w:bookmarkStart w:id="32" w:name="automatic-data-entry-facility"/>
      <w:r>
        <w:t xml:space="preserve">Automatic data-entry facility</w:t>
      </w:r>
      <w:bookmarkEnd w:id="32"/>
    </w:p>
    <w:p>
      <w:pPr>
        <w:pStyle w:val="FirstParagraph"/>
      </w:pPr>
      <w:r>
        <w:t xml:space="preserve">An important issue in the acceptance and usability of a computer system</w:t>
      </w:r>
      <w:r>
        <w:t xml:space="preserve"> </w:t>
      </w:r>
      <w:r>
        <w:t xml:space="preserve">in an environment such as an ICU is that manual entry of the data must</w:t>
      </w:r>
      <w:r>
        <w:t xml:space="preserve"> </w:t>
      </w:r>
      <w:r>
        <w:t xml:space="preserve">be kept to a minimum. Therefore, special care has been given to the</w:t>
      </w:r>
      <w:r>
        <w:t xml:space="preserve"> </w:t>
      </w:r>
      <w:r>
        <w:t xml:space="preserve">design and programming of an automatic data-entry facility for the</w:t>
      </w:r>
      <w:r>
        <w:t xml:space="preserve"> </w:t>
      </w:r>
      <w:r>
        <w:t xml:space="preserve">ABCHART program when installed on an ICU.</w:t>
      </w:r>
    </w:p>
    <w:p>
      <w:pPr>
        <w:pStyle w:val="BodyText"/>
      </w:pPr>
      <w:r>
        <w:t xml:space="preserve">This facility is based on the daily reporting routine of the</w:t>
      </w:r>
      <w:r>
        <w:t xml:space="preserve"> </w:t>
      </w:r>
      <w:r>
        <w:t xml:space="preserve">laboratories in the OLVG hospital in Amsterdam and the St. Elisabeth</w:t>
      </w:r>
      <w:r>
        <w:t xml:space="preserve"> </w:t>
      </w:r>
      <w:r>
        <w:t xml:space="preserve">hospital in Tilburg. In these hospitals, an arterial blood sample is</w:t>
      </w:r>
      <w:r>
        <w:t xml:space="preserve"> </w:t>
      </w:r>
      <w:r>
        <w:t xml:space="preserve">sent from the intensive care unit to a central clinical chemistry</w:t>
      </w:r>
      <w:r>
        <w:t xml:space="preserve"> </w:t>
      </w:r>
      <w:r>
        <w:t xml:space="preserve">laboratory in another part of the hospital, where the actual blood gas</w:t>
      </w:r>
      <w:r>
        <w:t xml:space="preserve"> </w:t>
      </w:r>
      <w:r>
        <w:t xml:space="preserve">analysis takes place (see Figure 5 –4). The results are then sent from</w:t>
      </w:r>
      <w:r>
        <w:t xml:space="preserve"> </w:t>
      </w:r>
      <w:r>
        <w:t xml:space="preserve">the central laboratory back to the intensive care unit via the Hospital</w:t>
      </w:r>
      <w:r>
        <w:t xml:space="preserve"> </w:t>
      </w:r>
      <w:r>
        <w:t xml:space="preserve">Information System on a serial communication line, and printed on a</w:t>
      </w:r>
      <w:r>
        <w:t xml:space="preserve"> </w:t>
      </w:r>
      <w:r>
        <w:t xml:space="preserve">dedicated laser printer residing at the intensive care unit. Typically,</w:t>
      </w:r>
      <w:r>
        <w:t xml:space="preserve"> </w:t>
      </w:r>
      <w:r>
        <w:t xml:space="preserve">these blood gas reports are in plain text (ASCII) format.</w:t>
      </w:r>
    </w:p>
    <w:p>
      <w:pPr>
        <w:pStyle w:val="BodyText"/>
      </w:pPr>
      <w:r>
        <w:t xml:space="preserve">For the automatic data-entry facility, a line-sharing device is used</w:t>
      </w:r>
      <w:r>
        <w:t xml:space="preserve"> </w:t>
      </w:r>
      <w:r>
        <w:t xml:space="preserve">that receives a signal and redistributes it to multiple slave devices</w:t>
      </w:r>
      <w:r>
        <w:t xml:space="preserve"> </w:t>
      </w:r>
      <w:r>
        <w:t xml:space="preserve">(DB25 Data Broadcast TL158AE-R3, Black Box Corporation, Utrecht, The</w:t>
      </w:r>
      <w:r>
        <w:t xml:space="preserve"> </w:t>
      </w:r>
      <w:r>
        <w:t xml:space="preserve">Netherlands). At the ICU, the serial line coming from the HIS is plugged</w:t>
      </w:r>
      <w:r>
        <w:t xml:space="preserve"> </w:t>
      </w:r>
      <w:r>
        <w:t xml:space="preserve">into this device while two serial lines coming from the slave ports of</w:t>
      </w:r>
      <w:r>
        <w:t xml:space="preserve"> </w:t>
      </w:r>
      <w:r>
        <w:t xml:space="preserve">the device are redirected to both the ICU report printer and to a serial</w:t>
      </w:r>
      <w:r>
        <w:t xml:space="preserve"> </w:t>
      </w:r>
      <w:r>
        <w:t xml:space="preserve">port of a personal computer installed at the desk. On this PC, a</w:t>
      </w:r>
      <w:r>
        <w:t xml:space="preserve"> </w:t>
      </w:r>
      <w:r>
        <w:t xml:space="preserve">communication program is active that receives all incoming blood gas</w:t>
      </w:r>
      <w:r>
        <w:t xml:space="preserve"> </w:t>
      </w:r>
      <w:r>
        <w:t xml:space="preserve">ASCII reports, extracts the relevant information from the reports, and</w:t>
      </w:r>
      <w:r>
        <w:t xml:space="preserve"> </w:t>
      </w:r>
      <w:r>
        <w:t xml:space="preserve">sends it to the running ABCHART program. The ABCHART program then</w:t>
      </w:r>
      <w:r>
        <w:t xml:space="preserve"> </w:t>
      </w:r>
      <w:r>
        <w:t xml:space="preserve">updates its open database and windows accordingly. This set-up ensures</w:t>
      </w:r>
      <w:r>
        <w:t xml:space="preserve"> </w:t>
      </w:r>
      <w:r>
        <w:t xml:space="preserve">that malfunction of the communication program, the ABCHART program or</w:t>
      </w:r>
      <w:r>
        <w:t xml:space="preserve"> </w:t>
      </w:r>
      <w:r>
        <w:t xml:space="preserve">any hardware problems do not have any effect on the standard reporting</w:t>
      </w:r>
      <w:r>
        <w:t xml:space="preserve"> </w:t>
      </w:r>
      <w:r>
        <w:t xml:space="preserve">procedures at the ICU, since the line-sharing device will always send</w:t>
      </w:r>
      <w:r>
        <w:t xml:space="preserve"> </w:t>
      </w:r>
      <w:r>
        <w:t xml:space="preserve">the ASCII report to the ICU printer. In this way, normal printing</w:t>
      </w:r>
      <w:r>
        <w:t xml:space="preserve"> </w:t>
      </w:r>
      <w:r>
        <w:t xml:space="preserve">procedures in the intensive care department are not interfered with,</w:t>
      </w:r>
      <w:r>
        <w:t xml:space="preserve"> </w:t>
      </w:r>
      <w:r>
        <w:t xml:space="preserve">while patient information is automatically updated in the database of</w:t>
      </w:r>
      <w:r>
        <w:t xml:space="preserve"> </w:t>
      </w:r>
      <w:r>
        <w:t xml:space="preserve">the ABCHART program.</w:t>
      </w:r>
      <w:r>
        <w:t xml:space="preserve"> </w:t>
      </w:r>
    </w:p>
    <w:p>
      <w:pPr>
        <w:pStyle w:val="BodyText"/>
      </w:pPr>
    </w:p>
    <w:p>
      <w:pPr>
        <w:pStyle w:val="Heading2"/>
      </w:pPr>
      <w:bookmarkStart w:id="33" w:name="references"/>
      <w:r>
        <w:t xml:space="preserve">References</w:t>
      </w:r>
      <w:bookmarkEnd w:id="33"/>
    </w:p>
    <w:p>
      <w:pPr>
        <w:pStyle w:val="FirstParagraph"/>
      </w:pPr>
      <w:r>
        <w:t xml:space="preserve">1. Microsoft. Visual Basic. Professional Edition 3.0 ed. Redmont, USA:</w:t>
      </w:r>
      <w:r>
        <w:t xml:space="preserve"> </w:t>
      </w:r>
      <w:r>
        <w:t xml:space="preserve">1993:2. Press WH, Teukolsky SA, Vetterling WT, et al. Numerical recipes</w:t>
      </w:r>
      <w:r>
        <w:t xml:space="preserve"> </w:t>
      </w:r>
      <w:r>
        <w:t xml:space="preserve">in C. The art of scientific computing. (2nd Edition,) : Cambridge</w:t>
      </w:r>
      <w:r>
        <w:t xml:space="preserve"> </w:t>
      </w:r>
      <w:r>
        <w:t xml:space="preserve">University Press, 1992.3. Borland. Borland C++ compiler. 4.5 ed. Scotts</w:t>
      </w:r>
      <w:r>
        <w:t xml:space="preserve"> </w:t>
      </w:r>
      <w:r>
        <w:t xml:space="preserve">Valley, USA: 1994: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2020-08-28T09:23:46Z</dcterms:created>
  <dcterms:modified xsi:type="dcterms:W3CDTF">2020-08-28T09:23:46Z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