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jdschrift"/>
        <w:rPr/>
      </w:pPr>
      <w:r>
        <w:rPr>
          <w:rStyle w:val="Buffer"/>
        </w:rPr>
        <w:t>P</w:t>
      </w:r>
      <w:r>
        <w:rPr/>
        <w:t>arts are published in: Computer Methods and Programs in Biomedicine 1997; 191</w:t>
        <w:noBreakHyphen/>
        <w:t>200 and the Proceedings of the Nineteenth Annual Symposium on Computer Applications in Medical Care. 1995; 52–56.</w:t>
      </w:r>
    </w:p>
    <w:p>
      <w:pPr>
        <w:pStyle w:val="Normal"/>
        <w:rPr/>
      </w:pPr>
      <w:r>
        <w:rPr/>
      </w:r>
    </w:p>
    <w:p>
      <w:pPr>
        <w:pStyle w:val="Caption"/>
        <w:rPr/>
      </w:pPr>
      <w:bookmarkStart w:id="0" w:name="_Ref426271081"/>
      <w:r>
        <w:rPr>
          <w:rStyle w:val="Buffer"/>
        </w:rPr>
        <w:t>F</w:t>
      </w:r>
      <w:r>
        <w:rPr/>
        <w:t xml:space="preserve">igure </w:t>
      </w:r>
      <w:r>
        <w:fldChar w:fldCharType="begin"/>
      </w:r>
      <w:r>
        <w:rPr/>
        <w:instrText> STYLEREF 1 \s </w:instrText>
      </w:r>
      <w:r>
        <w:rPr/>
        <w:fldChar w:fldCharType="separate"/>
      </w:r>
      <w:bookmarkStart w:id="1" w:name="__Fieldmark__26_1298402990"/>
      <w:r>
        <w:rPr>
          <w:lang w:val="en-US"/>
        </w:rPr>
        <w:t>5</w:t>
      </w:r>
      <w:r>
        <w:rPr>
          <w:lang w:val="en-US"/>
        </w:rPr>
      </w:r>
      <w:r>
        <w:rPr/>
        <w:fldChar w:fldCharType="end"/>
      </w:r>
      <w:bookmarkEnd w:id="1"/>
      <w:r>
        <w:rPr/>
        <w:t>–</w:t>
      </w:r>
      <w:r>
        <w:rPr/>
        <w:fldChar w:fldCharType="begin"/>
      </w:r>
      <w:r>
        <w:rPr/>
        <w:instrText> SEQ Figure \* ARABIC </w:instrText>
      </w:r>
      <w:r>
        <w:rPr/>
        <w:fldChar w:fldCharType="separate"/>
      </w:r>
      <w:r>
        <w:rPr/>
        <w:t>1</w:t>
      </w:r>
      <w:r>
        <w:rPr/>
        <w:fldChar w:fldCharType="end"/>
      </w:r>
      <w:bookmarkEnd w:id="0"/>
      <w:r>
        <w:rPr/>
        <w:t xml:space="preserve">. Main window of the </w:t>
      </w:r>
      <w:r>
        <w:rPr>
          <w:rStyle w:val="Nietafbreken"/>
          <w:lang w:val="en-GB"/>
        </w:rPr>
        <w:t>ABTRANS</w:t>
      </w:r>
      <w:r>
        <w:rPr/>
        <w:t xml:space="preserve"> program to guide a user through the process of defining a multivariate reference model for acid-base data. At the left-hand side of the window, the essential five steps to define a complete model are displayed. Pressing the associated button activates each step. Results of each step are displayed at the right-hand side of the window.</w:t>
      </w:r>
    </w:p>
    <w:p>
      <w:pPr>
        <w:pStyle w:val="Normal"/>
        <w:rPr/>
      </w:pPr>
      <w:r>
        <w:rPr/>
      </w:r>
    </w:p>
    <w:p>
      <w:pPr>
        <w:pStyle w:val="Caption"/>
        <w:rPr/>
      </w:pPr>
      <w:bookmarkStart w:id="2" w:name="_Ref426271519"/>
      <w:r>
        <w:rPr>
          <w:rStyle w:val="Buffer"/>
        </w:rPr>
        <w:t>F</w:t>
      </w:r>
      <w:r>
        <w:rPr/>
        <w:t xml:space="preserve">igure </w:t>
      </w:r>
      <w:r>
        <w:fldChar w:fldCharType="begin"/>
      </w:r>
      <w:r>
        <w:rPr/>
        <w:instrText> STYLEREF 1 \s </w:instrText>
      </w:r>
      <w:r>
        <w:rPr/>
        <w:fldChar w:fldCharType="separate"/>
      </w:r>
      <w:bookmarkStart w:id="3" w:name="__Fieldmark__27_1298402990"/>
      <w:r>
        <w:rPr>
          <w:lang w:val="en-US"/>
        </w:rPr>
        <w:t>5</w:t>
      </w:r>
      <w:r>
        <w:rPr>
          <w:lang w:val="en-US"/>
        </w:rPr>
      </w:r>
      <w:r>
        <w:rPr/>
        <w:fldChar w:fldCharType="end"/>
      </w:r>
      <w:bookmarkEnd w:id="3"/>
      <w:r>
        <w:rPr/>
        <w:t>–</w:t>
      </w:r>
      <w:r>
        <w:rPr/>
        <w:fldChar w:fldCharType="begin"/>
      </w:r>
      <w:r>
        <w:rPr/>
        <w:instrText> SEQ Figure \* ARABIC </w:instrText>
      </w:r>
      <w:r>
        <w:rPr/>
        <w:fldChar w:fldCharType="separate"/>
      </w:r>
      <w:r>
        <w:rPr/>
        <w:t>2</w:t>
      </w:r>
      <w:r>
        <w:rPr/>
        <w:fldChar w:fldCharType="end"/>
      </w:r>
      <w:bookmarkEnd w:id="2"/>
      <w:r>
        <w:rPr/>
        <w:t xml:space="preserve">. Patient data editing window (foreground) and laboratory data editing window (background) of the </w:t>
      </w:r>
      <w:r>
        <w:rPr>
          <w:rStyle w:val="Nietafbreken"/>
        </w:rPr>
        <w:t>ABCHART</w:t>
      </w:r>
      <w:r>
        <w:rPr/>
        <w:t xml:space="preserve"> program.</w:t>
      </w:r>
    </w:p>
    <w:p>
      <w:pPr>
        <w:pStyle w:val="Normal"/>
        <w:rPr/>
      </w:pPr>
      <w:r>
        <w:rPr/>
      </w:r>
    </w:p>
    <w:p>
      <w:pPr>
        <w:pStyle w:val="Caption"/>
        <w:rPr/>
      </w:pPr>
      <w:bookmarkStart w:id="4" w:name="_Ref426271546"/>
      <w:r>
        <w:rPr>
          <w:rStyle w:val="Buffer"/>
        </w:rPr>
        <w:t>F</w:t>
      </w:r>
      <w:r>
        <w:rPr/>
        <w:t xml:space="preserve">igure </w:t>
      </w:r>
      <w:r>
        <w:fldChar w:fldCharType="begin"/>
      </w:r>
      <w:r>
        <w:rPr/>
        <w:instrText> STYLEREF 1 \s </w:instrText>
      </w:r>
      <w:r>
        <w:rPr/>
        <w:fldChar w:fldCharType="separate"/>
      </w:r>
      <w:bookmarkStart w:id="5" w:name="__Fieldmark__28_1298402990"/>
      <w:r>
        <w:rPr>
          <w:lang w:val="en-US"/>
        </w:rPr>
        <w:t>5</w:t>
      </w:r>
      <w:r>
        <w:rPr>
          <w:lang w:val="en-US"/>
        </w:rPr>
      </w:r>
      <w:r>
        <w:rPr/>
        <w:fldChar w:fldCharType="end"/>
      </w:r>
      <w:bookmarkEnd w:id="5"/>
      <w:r>
        <w:rPr/>
        <w:t>–</w:t>
      </w:r>
      <w:r>
        <w:rPr/>
        <w:fldChar w:fldCharType="begin"/>
      </w:r>
      <w:r>
        <w:rPr/>
        <w:instrText> SEQ Figure \* ARABIC </w:instrText>
      </w:r>
      <w:r>
        <w:rPr/>
        <w:fldChar w:fldCharType="separate"/>
      </w:r>
      <w:r>
        <w:rPr/>
        <w:t>3</w:t>
      </w:r>
      <w:r>
        <w:rPr/>
        <w:fldChar w:fldCharType="end"/>
      </w:r>
      <w:bookmarkEnd w:id="4"/>
      <w:r>
        <w:rPr/>
        <w:t xml:space="preserve">. Charts and classification window of the </w:t>
      </w:r>
      <w:r>
        <w:rPr>
          <w:rStyle w:val="Nietafbreken"/>
        </w:rPr>
        <w:t>ABCHART</w:t>
      </w:r>
      <w:r>
        <w:rPr/>
        <w:t xml:space="preserve"> program. In the upper left corner the tri-axial chart is displayed with an acid-base path of a patient. Acid-base measurements are numbered 1 to 25. In the lower left corner, the time trend of the Mahalanobis distance (here called ‘Abnormality index Dm’ for clarity of the user) is shown. Note that the horizontal line in this plot represents the 30% equal probability ellipse, displayed as the inner ellipse in the tri-axial chart. Acid-base measurements falling below the line are inside this ellipse, while measurements above the line are located outside the ellipse. In the lower right corner, classifications according the Astrup and Siggaard-Andersen method and the vector method are given for acid-base observation number 11.</w:t>
      </w:r>
    </w:p>
    <w:p>
      <w:pPr>
        <w:pStyle w:val="Normal"/>
        <w:rPr/>
      </w:pPr>
      <w:r>
        <w:rPr/>
      </w:r>
    </w:p>
    <w:p>
      <w:pPr>
        <w:pStyle w:val="Caption"/>
        <w:rPr/>
      </w:pPr>
      <w:bookmarkStart w:id="6" w:name="_Ref426271563"/>
      <w:r>
        <w:rPr>
          <w:rStyle w:val="Buffer"/>
        </w:rPr>
        <w:t>F</w:t>
      </w:r>
      <w:r>
        <w:rPr/>
        <w:t xml:space="preserve">igure </w:t>
      </w:r>
      <w:r>
        <w:fldChar w:fldCharType="begin"/>
      </w:r>
      <w:r>
        <w:rPr/>
        <w:instrText> STYLEREF 1 \s </w:instrText>
      </w:r>
      <w:r>
        <w:rPr/>
        <w:fldChar w:fldCharType="separate"/>
      </w:r>
      <w:bookmarkStart w:id="7" w:name="__Fieldmark__29_1298402990"/>
      <w:r>
        <w:rPr>
          <w:lang w:val="en-US"/>
        </w:rPr>
        <w:t>5</w:t>
      </w:r>
      <w:r>
        <w:rPr>
          <w:lang w:val="en-US"/>
        </w:rPr>
      </w:r>
      <w:r>
        <w:rPr/>
        <w:fldChar w:fldCharType="end"/>
      </w:r>
      <w:bookmarkEnd w:id="7"/>
      <w:r>
        <w:rPr/>
        <w:t>–</w:t>
      </w:r>
      <w:r>
        <w:rPr/>
        <w:fldChar w:fldCharType="begin"/>
      </w:r>
      <w:r>
        <w:rPr/>
        <w:instrText> SEQ Figure \* ARABIC </w:instrText>
      </w:r>
      <w:r>
        <w:rPr/>
        <w:fldChar w:fldCharType="separate"/>
      </w:r>
      <w:r>
        <w:rPr/>
        <w:t>4</w:t>
      </w:r>
      <w:r>
        <w:rPr/>
        <w:fldChar w:fldCharType="end"/>
      </w:r>
      <w:bookmarkEnd w:id="6"/>
      <w:r>
        <w:rPr/>
        <w:t xml:space="preserve">. Set-up for automatic data-entry of an </w:t>
      </w:r>
      <w:r>
        <w:rPr>
          <w:rStyle w:val="Nietafbreken"/>
        </w:rPr>
        <w:t>ABCHART</w:t>
      </w:r>
      <w:r>
        <w:rPr/>
        <w:t xml:space="preserve"> program running at an ICU. An arterial blood sample of an ICU patient is sent to a central clinical chemistry laboratory (Lab) elsewhere in the hospital. Results of the analysis are sent back to the ICU through the Hospital Information System (HIS). At the ICU, the incoming serial signal from the HIS is duplicated by a line-sharing device and sent to both a printer and a personal computer (PC) installed at the ICU. On the PC, a running </w:t>
      </w:r>
      <w:r>
        <w:rPr>
          <w:rStyle w:val="Nietafbreken"/>
        </w:rPr>
        <w:t>ABCHART</w:t>
      </w:r>
      <w:r>
        <w:rPr/>
        <w:t xml:space="preserve"> program processes the incoming data and performs an update of its database and windows accordingly.</w:t>
      </w:r>
    </w:p>
    <w:p>
      <w:pPr>
        <w:pStyle w:val="Normal"/>
        <w:rPr/>
      </w:pPr>
      <w:r>
        <w:rPr/>
      </w:r>
    </w:p>
    <w:p>
      <w:pPr>
        <w:pStyle w:val="Tabelbeschrijving"/>
        <w:rPr/>
      </w:pPr>
      <w:bookmarkStart w:id="8" w:name="_Ref426271439"/>
      <w:r>
        <w:rPr>
          <w:rStyle w:val="Buffer"/>
        </w:rPr>
        <w:t>T</w:t>
      </w:r>
      <w:r>
        <w:rPr/>
        <w:t xml:space="preserve">able </w:t>
      </w:r>
      <w:r>
        <w:fldChar w:fldCharType="begin"/>
      </w:r>
      <w:r>
        <w:rPr/>
        <w:instrText> STYLEREF 1 \s </w:instrText>
      </w:r>
      <w:r>
        <w:rPr/>
        <w:fldChar w:fldCharType="separate"/>
      </w:r>
      <w:bookmarkStart w:id="9" w:name="__Fieldmark__24_1298402990"/>
      <w:r>
        <w:rPr>
          <w:lang w:val="en-US"/>
        </w:rPr>
        <w:t>5</w:t>
      </w:r>
      <w:r>
        <w:rPr>
          <w:lang w:val="en-US"/>
        </w:rPr>
      </w:r>
      <w:r>
        <w:rPr/>
        <w:fldChar w:fldCharType="end"/>
      </w:r>
      <w:bookmarkEnd w:id="9"/>
      <w:r>
        <w:rPr/>
        <w:t>–</w:t>
      </w:r>
      <w:r>
        <w:rPr/>
        <w:fldChar w:fldCharType="begin"/>
      </w:r>
      <w:r>
        <w:rPr/>
        <w:instrText> SEQ Table \* ARABIC </w:instrText>
      </w:r>
      <w:r>
        <w:rPr/>
        <w:fldChar w:fldCharType="separate"/>
      </w:r>
      <w:r>
        <w:rPr/>
        <w:t>1</w:t>
      </w:r>
      <w:r>
        <w:rPr/>
        <w:fldChar w:fldCharType="end"/>
      </w:r>
      <w:bookmarkEnd w:id="8"/>
      <w:r>
        <w:rPr/>
        <w:t xml:space="preserve">. Relevant numerical routines used in the programs </w:t>
      </w:r>
      <w:r>
        <w:rPr>
          <w:rStyle w:val="Nietafbreken"/>
        </w:rPr>
        <w:t>ABTRANS</w:t>
      </w:r>
      <w:r>
        <w:rPr/>
        <w:t xml:space="preserve"> and </w:t>
      </w:r>
      <w:r>
        <w:rPr>
          <w:rStyle w:val="Nietafbreken"/>
        </w:rPr>
        <w:t>ABCHART</w:t>
      </w:r>
      <w:r>
        <w:rPr/>
        <w:t xml:space="preserve">. </w:t>
      </w:r>
    </w:p>
    <w:tbl>
      <w:tblPr>
        <w:tblW w:w="9356" w:type="dxa"/>
        <w:jc w:val="left"/>
        <w:tblInd w:w="0" w:type="dxa"/>
        <w:tblBorders>
          <w:top w:val="single" w:sz="6" w:space="0" w:color="000000"/>
        </w:tblBorders>
        <w:tblCellMar>
          <w:top w:w="0" w:type="dxa"/>
          <w:left w:w="70" w:type="dxa"/>
          <w:bottom w:w="0" w:type="dxa"/>
          <w:right w:w="70" w:type="dxa"/>
        </w:tblCellMar>
      </w:tblPr>
      <w:tblGrid>
        <w:gridCol w:w="1134"/>
        <w:gridCol w:w="1415"/>
        <w:gridCol w:w="6807"/>
      </w:tblGrid>
      <w:tr>
        <w:trPr/>
        <w:tc>
          <w:tcPr>
            <w:tcW w:w="1134" w:type="dxa"/>
            <w:tcBorders>
              <w:top w:val="single" w:sz="6" w:space="0" w:color="000000"/>
            </w:tcBorders>
            <w:shd w:fill="auto" w:val="clear"/>
          </w:tcPr>
          <w:p>
            <w:pPr>
              <w:pStyle w:val="Tabel"/>
              <w:jc w:val="left"/>
              <w:rPr/>
            </w:pPr>
            <w:r>
              <w:rPr/>
              <w:t>name</w:t>
            </w:r>
          </w:p>
        </w:tc>
        <w:tc>
          <w:tcPr>
            <w:tcW w:w="1415" w:type="dxa"/>
            <w:tcBorders>
              <w:top w:val="single" w:sz="6" w:space="0" w:color="000000"/>
            </w:tcBorders>
            <w:shd w:fill="auto" w:val="clear"/>
          </w:tcPr>
          <w:p>
            <w:pPr>
              <w:pStyle w:val="Tabel"/>
              <w:jc w:val="left"/>
              <w:rPr/>
            </w:pPr>
            <w:r>
              <w:rPr/>
              <w:t>type</w:t>
            </w:r>
          </w:p>
        </w:tc>
        <w:tc>
          <w:tcPr>
            <w:tcW w:w="6807" w:type="dxa"/>
            <w:tcBorders>
              <w:top w:val="single" w:sz="6" w:space="0" w:color="000000"/>
            </w:tcBorders>
            <w:shd w:fill="auto" w:val="clear"/>
          </w:tcPr>
          <w:p>
            <w:pPr>
              <w:pStyle w:val="Tabel"/>
              <w:jc w:val="left"/>
              <w:rPr/>
            </w:pPr>
            <w:r>
              <w:rPr/>
              <w:t>description</w:t>
            </w:r>
          </w:p>
        </w:tc>
      </w:tr>
      <w:tr>
        <w:trPr/>
        <w:tc>
          <w:tcPr>
            <w:tcW w:w="1134" w:type="dxa"/>
            <w:tcBorders>
              <w:top w:val="single" w:sz="6" w:space="0" w:color="000000"/>
            </w:tcBorders>
            <w:shd w:fill="auto" w:val="clear"/>
          </w:tcPr>
          <w:p>
            <w:pPr>
              <w:pStyle w:val="Tabel"/>
              <w:jc w:val="left"/>
              <w:rPr/>
            </w:pPr>
            <w:r>
              <w:rPr/>
              <w:t>invert</w:t>
            </w:r>
          </w:p>
        </w:tc>
        <w:tc>
          <w:tcPr>
            <w:tcW w:w="1415" w:type="dxa"/>
            <w:tcBorders>
              <w:top w:val="single" w:sz="6" w:space="0" w:color="000000"/>
            </w:tcBorders>
            <w:shd w:fill="auto" w:val="clear"/>
          </w:tcPr>
          <w:p>
            <w:pPr>
              <w:pStyle w:val="Tabel"/>
              <w:jc w:val="left"/>
              <w:rPr/>
            </w:pPr>
            <w:r>
              <w:rPr/>
              <w:t>NR-procedure</w:t>
            </w:r>
          </w:p>
        </w:tc>
        <w:tc>
          <w:tcPr>
            <w:tcW w:w="6807" w:type="dxa"/>
            <w:tcBorders>
              <w:top w:val="single" w:sz="6" w:space="0" w:color="000000"/>
            </w:tcBorders>
            <w:shd w:fill="auto" w:val="clear"/>
          </w:tcPr>
          <w:p>
            <w:pPr>
              <w:pStyle w:val="Tabel"/>
              <w:jc w:val="left"/>
              <w:rPr/>
            </w:pPr>
            <w:r>
              <w:rPr/>
              <w:t xml:space="preserve">Calculates the inverse of a matrix. Uses the NR-procedures </w:t>
            </w:r>
            <w:r>
              <w:rPr>
                <w:rStyle w:val="Nietafbreken"/>
                <w:i/>
              </w:rPr>
              <w:t>ludcmp</w:t>
            </w:r>
            <w:r>
              <w:rPr/>
              <w:t xml:space="preserve"> and </w:t>
            </w:r>
            <w:r>
              <w:rPr>
                <w:rStyle w:val="Nietafbreken"/>
                <w:i/>
              </w:rPr>
              <w:t>lubkdsb</w:t>
            </w:r>
            <w:r>
              <w:rPr/>
              <w:t>.</w:t>
            </w:r>
          </w:p>
        </w:tc>
      </w:tr>
      <w:tr>
        <w:trPr/>
        <w:tc>
          <w:tcPr>
            <w:tcW w:w="1134" w:type="dxa"/>
            <w:tcBorders/>
            <w:shd w:fill="auto" w:val="clear"/>
          </w:tcPr>
          <w:p>
            <w:pPr>
              <w:pStyle w:val="Tabel"/>
              <w:jc w:val="left"/>
              <w:rPr/>
            </w:pPr>
            <w:r>
              <w:rPr/>
              <w:t>moment</w:t>
            </w:r>
          </w:p>
        </w:tc>
        <w:tc>
          <w:tcPr>
            <w:tcW w:w="1415" w:type="dxa"/>
            <w:tcBorders/>
            <w:shd w:fill="auto" w:val="clear"/>
          </w:tcPr>
          <w:p>
            <w:pPr>
              <w:pStyle w:val="Tabel"/>
              <w:jc w:val="left"/>
              <w:rPr/>
            </w:pPr>
            <w:r>
              <w:rPr/>
              <w:t>NR-procedure</w:t>
            </w:r>
          </w:p>
        </w:tc>
        <w:tc>
          <w:tcPr>
            <w:tcW w:w="6807" w:type="dxa"/>
            <w:tcBorders/>
            <w:shd w:fill="auto" w:val="clear"/>
          </w:tcPr>
          <w:p>
            <w:pPr>
              <w:pStyle w:val="Tabel"/>
              <w:jc w:val="left"/>
              <w:rPr/>
            </w:pPr>
            <w:r>
              <w:rPr/>
              <w:t>Calculates mean, standard deviation, variance, kurtosis and skewness from an array of input values.</w:t>
            </w:r>
          </w:p>
        </w:tc>
      </w:tr>
      <w:tr>
        <w:trPr/>
        <w:tc>
          <w:tcPr>
            <w:tcW w:w="1134" w:type="dxa"/>
            <w:tcBorders/>
            <w:shd w:fill="auto" w:val="clear"/>
          </w:tcPr>
          <w:p>
            <w:pPr>
              <w:pStyle w:val="Tabel"/>
              <w:jc w:val="left"/>
              <w:rPr/>
            </w:pPr>
            <w:r>
              <w:rPr/>
              <w:t>gammp</w:t>
            </w:r>
          </w:p>
        </w:tc>
        <w:tc>
          <w:tcPr>
            <w:tcW w:w="1415" w:type="dxa"/>
            <w:tcBorders/>
            <w:shd w:fill="auto" w:val="clear"/>
          </w:tcPr>
          <w:p>
            <w:pPr>
              <w:pStyle w:val="Tabel"/>
              <w:jc w:val="left"/>
              <w:rPr/>
            </w:pPr>
            <w:r>
              <w:rPr/>
              <w:t>NR-function</w:t>
            </w:r>
          </w:p>
        </w:tc>
        <w:tc>
          <w:tcPr>
            <w:tcW w:w="6807" w:type="dxa"/>
            <w:tcBorders/>
            <w:shd w:fill="auto" w:val="clear"/>
          </w:tcPr>
          <w:p>
            <w:pPr>
              <w:pStyle w:val="Tabel"/>
              <w:jc w:val="left"/>
              <w:rPr/>
            </w:pPr>
            <w:r>
              <w:rPr/>
              <w:t xml:space="preserve">Incomplete gamma function for the calculation of the theoretical cumulative probability for a specific </w:t>
            </w:r>
            <w:r>
              <w:rPr>
                <w:rFonts w:eastAsia="Symbol" w:cs="Symbol" w:ascii="Symbol" w:hAnsi="Symbol"/>
              </w:rPr>
              <w:t></w:t>
            </w:r>
            <w:r>
              <w:rPr>
                <w:position w:val="6"/>
                <w:sz w:val="14"/>
              </w:rPr>
              <w:t>2</w:t>
            </w:r>
            <w:r>
              <w:rPr/>
              <w:t>-value with a given number of degrees of freedom.</w:t>
            </w:r>
          </w:p>
        </w:tc>
      </w:tr>
      <w:tr>
        <w:trPr/>
        <w:tc>
          <w:tcPr>
            <w:tcW w:w="1134" w:type="dxa"/>
            <w:tcBorders/>
            <w:shd w:fill="auto" w:val="clear"/>
          </w:tcPr>
          <w:p>
            <w:pPr>
              <w:pStyle w:val="Tabel"/>
              <w:jc w:val="left"/>
              <w:rPr/>
            </w:pPr>
            <w:r>
              <w:rPr/>
              <w:t>erff</w:t>
            </w:r>
          </w:p>
        </w:tc>
        <w:tc>
          <w:tcPr>
            <w:tcW w:w="1415" w:type="dxa"/>
            <w:tcBorders/>
            <w:shd w:fill="auto" w:val="clear"/>
          </w:tcPr>
          <w:p>
            <w:pPr>
              <w:pStyle w:val="Tabel"/>
              <w:jc w:val="left"/>
              <w:rPr/>
            </w:pPr>
            <w:r>
              <w:rPr/>
              <w:t>NR-function</w:t>
            </w:r>
          </w:p>
        </w:tc>
        <w:tc>
          <w:tcPr>
            <w:tcW w:w="6807" w:type="dxa"/>
            <w:tcBorders/>
            <w:shd w:fill="auto" w:val="clear"/>
          </w:tcPr>
          <w:p>
            <w:pPr>
              <w:pStyle w:val="Tabel"/>
              <w:jc w:val="left"/>
              <w:rPr/>
            </w:pPr>
            <w:r>
              <w:rPr/>
              <w:t>Error function for the calculation of a theoretical cumulative probability for a specific Gaussian z-score.</w:t>
            </w:r>
          </w:p>
        </w:tc>
      </w:tr>
      <w:tr>
        <w:trPr/>
        <w:tc>
          <w:tcPr>
            <w:tcW w:w="1134" w:type="dxa"/>
            <w:tcBorders/>
            <w:shd w:fill="auto" w:val="clear"/>
          </w:tcPr>
          <w:p>
            <w:pPr>
              <w:pStyle w:val="Tabel"/>
              <w:jc w:val="left"/>
              <w:rPr/>
            </w:pPr>
            <w:r>
              <w:rPr/>
              <w:t>pearsn</w:t>
            </w:r>
          </w:p>
        </w:tc>
        <w:tc>
          <w:tcPr>
            <w:tcW w:w="1415" w:type="dxa"/>
            <w:tcBorders/>
            <w:shd w:fill="auto" w:val="clear"/>
          </w:tcPr>
          <w:p>
            <w:pPr>
              <w:pStyle w:val="Tabel"/>
              <w:jc w:val="left"/>
              <w:rPr/>
            </w:pPr>
            <w:r>
              <w:rPr/>
              <w:t>NR-procedure</w:t>
            </w:r>
          </w:p>
        </w:tc>
        <w:tc>
          <w:tcPr>
            <w:tcW w:w="6807" w:type="dxa"/>
            <w:tcBorders/>
            <w:shd w:fill="auto" w:val="clear"/>
          </w:tcPr>
          <w:p>
            <w:pPr>
              <w:pStyle w:val="Tabel"/>
              <w:jc w:val="left"/>
              <w:rPr/>
            </w:pPr>
            <w:r>
              <w:rPr/>
              <w:t xml:space="preserve">Returns Pearson’s correlation coefficient </w:t>
            </w:r>
            <w:r>
              <w:rPr>
                <w:i/>
              </w:rPr>
              <w:t>r</w:t>
            </w:r>
            <w:r>
              <w:rPr/>
              <w:t xml:space="preserve"> and corresponding </w:t>
            </w:r>
            <w:r>
              <w:rPr>
                <w:i/>
              </w:rPr>
              <w:t>p</w:t>
            </w:r>
            <w:r>
              <w:rPr/>
              <w:t>-value for two arrays of input values.</w:t>
            </w:r>
          </w:p>
        </w:tc>
      </w:tr>
      <w:tr>
        <w:trPr/>
        <w:tc>
          <w:tcPr>
            <w:tcW w:w="1134" w:type="dxa"/>
            <w:tcBorders/>
            <w:shd w:fill="auto" w:val="clear"/>
          </w:tcPr>
          <w:p>
            <w:pPr>
              <w:pStyle w:val="Tabel"/>
              <w:jc w:val="left"/>
              <w:rPr/>
            </w:pPr>
            <w:r>
              <w:rPr/>
              <w:t>betai</w:t>
            </w:r>
          </w:p>
        </w:tc>
        <w:tc>
          <w:tcPr>
            <w:tcW w:w="1415" w:type="dxa"/>
            <w:tcBorders/>
            <w:shd w:fill="auto" w:val="clear"/>
          </w:tcPr>
          <w:p>
            <w:pPr>
              <w:pStyle w:val="Tabel"/>
              <w:jc w:val="left"/>
              <w:rPr/>
            </w:pPr>
            <w:r>
              <w:rPr/>
              <w:t>NR-function</w:t>
            </w:r>
          </w:p>
        </w:tc>
        <w:tc>
          <w:tcPr>
            <w:tcW w:w="6807" w:type="dxa"/>
            <w:tcBorders/>
            <w:shd w:fill="auto" w:val="clear"/>
          </w:tcPr>
          <w:p>
            <w:pPr>
              <w:pStyle w:val="Tabel"/>
              <w:jc w:val="left"/>
              <w:rPr/>
            </w:pPr>
            <w:r>
              <w:rPr/>
              <w:t>Incomplete beta function for the calculation of a theoretical cumulative probability for a specific F-value with a given number of degrees of freedom.</w:t>
            </w:r>
          </w:p>
        </w:tc>
      </w:tr>
      <w:tr>
        <w:trPr/>
        <w:tc>
          <w:tcPr>
            <w:tcW w:w="1134" w:type="dxa"/>
            <w:tcBorders/>
            <w:shd w:fill="auto" w:val="clear"/>
          </w:tcPr>
          <w:p>
            <w:pPr>
              <w:pStyle w:val="Tabel"/>
              <w:jc w:val="left"/>
              <w:rPr/>
            </w:pPr>
            <w:r>
              <w:rPr/>
              <w:t>jacobi</w:t>
            </w:r>
          </w:p>
        </w:tc>
        <w:tc>
          <w:tcPr>
            <w:tcW w:w="1415" w:type="dxa"/>
            <w:tcBorders/>
            <w:shd w:fill="auto" w:val="clear"/>
          </w:tcPr>
          <w:p>
            <w:pPr>
              <w:pStyle w:val="Tabel"/>
              <w:jc w:val="left"/>
              <w:rPr/>
            </w:pPr>
            <w:r>
              <w:rPr/>
              <w:t>NR-function</w:t>
            </w:r>
          </w:p>
        </w:tc>
        <w:tc>
          <w:tcPr>
            <w:tcW w:w="6807" w:type="dxa"/>
            <w:tcBorders/>
            <w:shd w:fill="auto" w:val="clear"/>
          </w:tcPr>
          <w:p>
            <w:pPr>
              <w:pStyle w:val="Tabel"/>
              <w:jc w:val="left"/>
              <w:rPr/>
            </w:pPr>
            <w:r>
              <w:rPr/>
              <w:t>Returns the eigenvectors and eigenvalues of a symmetrical matrix.</w:t>
            </w:r>
          </w:p>
        </w:tc>
      </w:tr>
      <w:tr>
        <w:trPr/>
        <w:tc>
          <w:tcPr>
            <w:tcW w:w="1134" w:type="dxa"/>
            <w:tcBorders/>
            <w:shd w:fill="auto" w:val="clear"/>
          </w:tcPr>
          <w:p>
            <w:pPr>
              <w:pStyle w:val="Tabel"/>
              <w:jc w:val="left"/>
              <w:rPr/>
            </w:pPr>
            <w:r>
              <w:rPr/>
              <w:t>eigsrt</w:t>
            </w:r>
          </w:p>
        </w:tc>
        <w:tc>
          <w:tcPr>
            <w:tcW w:w="1415" w:type="dxa"/>
            <w:tcBorders/>
            <w:shd w:fill="auto" w:val="clear"/>
          </w:tcPr>
          <w:p>
            <w:pPr>
              <w:pStyle w:val="Tabel"/>
              <w:jc w:val="left"/>
              <w:rPr/>
            </w:pPr>
            <w:r>
              <w:rPr/>
              <w:t>NR-function</w:t>
            </w:r>
          </w:p>
        </w:tc>
        <w:tc>
          <w:tcPr>
            <w:tcW w:w="6807" w:type="dxa"/>
            <w:tcBorders/>
            <w:shd w:fill="auto" w:val="clear"/>
          </w:tcPr>
          <w:p>
            <w:pPr>
              <w:pStyle w:val="Tabel"/>
              <w:jc w:val="left"/>
              <w:rPr/>
            </w:pPr>
            <w:r>
              <w:rPr/>
              <w:t>Sorts eigenvectors in the eigenvalue matrix after ‘jacobi’.</w:t>
            </w:r>
          </w:p>
        </w:tc>
      </w:tr>
      <w:tr>
        <w:trPr/>
        <w:tc>
          <w:tcPr>
            <w:tcW w:w="1134" w:type="dxa"/>
            <w:tcBorders>
              <w:bottom w:val="single" w:sz="6" w:space="0" w:color="000000"/>
              <w:insideH w:val="single" w:sz="6" w:space="0" w:color="000000"/>
            </w:tcBorders>
            <w:shd w:fill="auto" w:val="clear"/>
          </w:tcPr>
          <w:p>
            <w:pPr>
              <w:pStyle w:val="Tabel"/>
              <w:jc w:val="left"/>
              <w:rPr/>
            </w:pPr>
            <w:r>
              <w:rPr/>
              <w:t>sKS</w:t>
            </w:r>
          </w:p>
        </w:tc>
        <w:tc>
          <w:tcPr>
            <w:tcW w:w="1415" w:type="dxa"/>
            <w:tcBorders>
              <w:bottom w:val="single" w:sz="6" w:space="0" w:color="000000"/>
              <w:insideH w:val="single" w:sz="6" w:space="0" w:color="000000"/>
            </w:tcBorders>
            <w:shd w:fill="auto" w:val="clear"/>
          </w:tcPr>
          <w:p>
            <w:pPr>
              <w:pStyle w:val="Tabel"/>
              <w:jc w:val="left"/>
              <w:rPr/>
            </w:pPr>
            <w:r>
              <w:rPr/>
              <w:t>VB-function</w:t>
            </w:r>
          </w:p>
        </w:tc>
        <w:tc>
          <w:tcPr>
            <w:tcW w:w="6807" w:type="dxa"/>
            <w:tcBorders>
              <w:bottom w:val="single" w:sz="6" w:space="0" w:color="000000"/>
              <w:insideH w:val="single" w:sz="6" w:space="0" w:color="000000"/>
            </w:tcBorders>
            <w:shd w:fill="auto" w:val="clear"/>
          </w:tcPr>
          <w:p>
            <w:pPr>
              <w:pStyle w:val="Tabel"/>
              <w:jc w:val="left"/>
              <w:rPr/>
            </w:pPr>
            <w:r>
              <w:rPr/>
              <w:t xml:space="preserve">Calculates the adapted size-adjusted Kolmogorov-Smirnov test-statistic and associated </w:t>
            </w:r>
            <w:r>
              <w:rPr>
                <w:i/>
              </w:rPr>
              <w:t>p</w:t>
            </w:r>
            <w:r>
              <w:rPr/>
              <w:t>-value for a theoretical and empirical cumulative probability distribution.</w:t>
            </w:r>
          </w:p>
        </w:tc>
      </w:tr>
    </w:tbl>
    <w:p>
      <w:pPr>
        <w:pStyle w:val="Notebijtabel"/>
        <w:spacing w:before="0" w:after="60"/>
        <w:rPr>
          <w:b/>
          <w:b/>
          <w:bCs/>
        </w:rPr>
      </w:pPr>
      <w:r>
        <w:rPr>
          <w:b/>
          <w:bCs/>
        </w:rPr>
        <w:t xml:space="preserve">All routines and functions of type NR are from the numerical routines library </w:t>
      </w:r>
      <w:r>
        <w:rPr>
          <w:b/>
          <w:bCs/>
          <w:i/>
        </w:rPr>
        <w:t>Numerical Recipes in C. The Art of Scientific Computing</w:t>
      </w:r>
      <w:r>
        <w:rPr>
          <w:b/>
          <w:bCs/>
        </w:rPr>
        <w:t xml:space="preserve"> (Used with permission. Copyright © 1987-1992, Numerical Recipes Software) </w:t>
      </w:r>
      <w:r>
        <w:fldChar w:fldCharType="begin"/>
      </w:r>
      <w:r>
        <w:rPr>
          <w:b/>
          <w:bCs/>
        </w:rPr>
        <w:instrText> ADDIN ENRf8 _x0001_</w:instrText>
      </w:r>
      <w:r>
        <w:rPr>
          <w:b/>
          <w:bCs/>
        </w:rPr>
        <w:fldChar w:fldCharType="separate"/>
      </w:r>
      <w:bookmarkStart w:id="10" w:name="__Fieldmark__25_1298402990"/>
      <w:r>
        <w:rPr>
          <w:b/>
          <w:bCs/>
        </w:rPr>
        <w:t>[2]</w:t>
      </w:r>
      <w:r>
        <w:rPr>
          <w:b/>
          <w:bCs/>
        </w:rPr>
      </w:r>
      <w:r>
        <w:rPr>
          <w:b/>
          <w:bCs/>
        </w:rPr>
        <w:fldChar w:fldCharType="end"/>
      </w:r>
      <w:bookmarkEnd w:id="10"/>
      <w:r>
        <w:rPr>
          <w:b/>
          <w:bCs/>
        </w:rPr>
        <w:t xml:space="preserve"> and are located in the file </w:t>
      </w:r>
      <w:r>
        <w:rPr>
          <w:rStyle w:val="Nietafbreken"/>
          <w:b/>
          <w:bCs/>
        </w:rPr>
        <w:t>NUMREC</w:t>
      </w:r>
      <w:r>
        <w:rPr>
          <w:b/>
          <w:bCs/>
        </w:rPr>
        <w:t>.DLL. The function of type VB is written in Visual Basic.</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DefaultParagraphFont">
    <w:name w:val="Default Paragraph Font"/>
    <w:qFormat/>
    <w:rPr/>
  </w:style>
  <w:style w:type="character" w:styleId="Nietafbreken">
    <w:name w:val="Niet afbreken"/>
    <w:basedOn w:val="DefaultParagraphFont"/>
    <w:qFormat/>
    <w:rPr>
      <w:lang w:val="en-US" w:eastAsia="en-US"/>
    </w:rPr>
  </w:style>
  <w:style w:type="character" w:styleId="Buffer">
    <w:name w:val="Buff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bijtabel">
    <w:name w:val="Note bij tabel"/>
    <w:basedOn w:val="Normal"/>
    <w:qFormat/>
    <w:pPr>
      <w:spacing w:lineRule="exact" w:line="240" w:before="0" w:after="60"/>
      <w:jc w:val="left"/>
    </w:pPr>
    <w:rPr>
      <w:sz w:val="20"/>
    </w:rPr>
  </w:style>
  <w:style w:type="paragraph" w:styleId="Tabelbeschrijving">
    <w:name w:val="Tabelbeschrijving"/>
    <w:basedOn w:val="Normal"/>
    <w:qFormat/>
    <w:pPr>
      <w:keepNext w:val="true"/>
      <w:suppressAutoHyphens w:val="true"/>
      <w:spacing w:lineRule="exact" w:line="300" w:before="0" w:after="120"/>
    </w:pPr>
    <w:rPr>
      <w:i/>
      <w:sz w:val="24"/>
    </w:rPr>
  </w:style>
  <w:style w:type="paragraph" w:styleId="Tabel">
    <w:name w:val="Tabel"/>
    <w:basedOn w:val="Normal"/>
    <w:qFormat/>
    <w:pPr>
      <w:jc w:val="center"/>
    </w:pPr>
    <w:rPr/>
  </w:style>
  <w:style w:type="paragraph" w:styleId="Tijdschrift">
    <w:name w:val="Tijdschrift"/>
    <w:basedOn w:val="Normal"/>
    <w:qFormat/>
    <w:pPr>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570</Words>
  <Characters>3111</Characters>
  <CharactersWithSpaces>3626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2020-08-28T11:15:36Z</dcterms:created>
  <dc:creator/>
  <dc:description/>
  <dc:language>en-US</dc:language>
  <cp:lastModifiedBy/>
  <dcterms:modified xsi:type="dcterms:W3CDTF">2020-08-28T11:18:57Z</dcterms:modified>
  <cp:revision>1</cp:revision>
  <dc:subject/>
  <dc:title/>
</cp:coreProperties>
</file>