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9E75"/>
          <w:spacing w:val="80"/>
          <w:sz w:val="18"/>
          <w:szCs w:val="18"/>
        </w:rPr>
        <w:t xml:space="preserve">RINKI OHEN CONSEIL</w:t>
      </w:r>
    </w:p>
    <w:p>
      <w:pPr>
        <w:pBdr>
          <w:bottom w:val="single" w:color="1D9E75" w:sz="4" w:space="1"/>
        </w:pBdr>
        <w:spacing w:after="200" w:before="0"/>
      </w:pPr>
      <w:r>
        <w:rPr>
          <w:rFonts w:ascii="Arial" w:cs="Arial" w:eastAsia="Arial" w:hAnsi="Arial"/>
          <w:sz w:val="6"/>
          <w:szCs w:val="6"/>
        </w:rPr>
        <w:t xml:space="preserve"/>
      </w:r>
    </w:p>
    <w:p>
      <w:pPr>
        <w:spacing w:after="120" w:before="400"/>
      </w:pPr>
      <w:r>
        <w:rPr>
          <w:rFonts w:ascii="Arial" w:cs="Arial" w:eastAsia="Arial" w:hAnsi="Arial"/>
          <w:b/>
          <w:bCs/>
          <w:color w:val="1C1C1A"/>
          <w:sz w:val="44"/>
          <w:szCs w:val="44"/>
        </w:rPr>
        <w:t xml:space="preserve">Audit d'entrée — Organisation vivante</w:t>
      </w:r>
    </w:p>
    <w:p>
      <w:pPr>
        <w:spacing w:after="80" w:before="0"/>
      </w:pPr>
      <w:r>
        <w:rPr>
          <w:rFonts w:ascii="Arial" w:cs="Arial" w:eastAsia="Arial" w:hAnsi="Arial"/>
          <w:i/>
          <w:iCs/>
          <w:color w:val="6B6B65"/>
          <w:sz w:val="24"/>
          <w:szCs w:val="24"/>
        </w:rPr>
        <w:t xml:space="preserve">Diagnostic structurel complet · 5 sections · 52 questions</w:t>
      </w:r>
    </w:p>
    <w:p>
      <w:pPr>
        <w:spacing w:after="600" w:before="200"/>
      </w:pPr>
      <w:r>
        <w:rPr>
          <w:rFonts w:ascii="Arial" w:cs="Arial" w:eastAsia="Arial" w:hAnsi="Arial"/>
          <w:color w:val="9E9E96"/>
          <w:sz w:val="18"/>
          <w:szCs w:val="18"/>
        </w:rPr>
        <w:t xml:space="preserve">Marceline Le Gaufey · rinkiohenconseil.com</w:t>
      </w:r>
    </w:p>
    <w:p>
      <w:pPr>
        <w:spacing w:after="0" w:before="4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none" w:color="FFFFFF" w:sz="0"/>
              <w:bottom w:val="none" w:color="FFFFFF" w:sz="0"/>
              <w:right w:val="none" w:color="FFFFFF" w:sz="0"/>
            </w:tcBorders>
            <w:shd w:fill="E1F5EE" w:val="clear"/>
            <w:tcMar>
              <w:top w:type="dxa" w:w="160"/>
              <w:left w:type="dxa" w:w="200"/>
              <w:bottom w:type="dxa" w:w="160"/>
              <w:right w:type="dxa" w:w="200"/>
            </w:tcMar>
          </w:tcPr>
          <w:p>
            <w:pPr>
              <w:spacing w:after="60" w:before="0"/>
            </w:pPr>
            <w:r>
              <w:rPr>
                <w:rFonts w:ascii="Arial" w:cs="Arial" w:eastAsia="Arial" w:hAnsi="Arial"/>
                <w:b/>
                <w:bCs/>
                <w:color w:val="1D9E75"/>
                <w:spacing w:val="80"/>
                <w:sz w:val="16"/>
                <w:szCs w:val="16"/>
              </w:rPr>
              <w:t xml:space="preserve">SECTION 1 SUR 5</w:t>
            </w:r>
          </w:p>
          <w:p>
            <w:pPr>
              <w:spacing w:after="40" w:before="0"/>
            </w:pPr>
            <w:r>
              <w:rPr>
                <w:rFonts w:ascii="Arial" w:cs="Arial" w:eastAsia="Arial" w:hAnsi="Arial"/>
                <w:b/>
                <w:bCs/>
                <w:color w:val="1C1C1A"/>
                <w:sz w:val="32"/>
                <w:szCs w:val="32"/>
              </w:rPr>
              <w:t xml:space="preserve">Raison d'être, Identité &amp; Data</w:t>
            </w:r>
          </w:p>
          <w:p>
            <w:pPr>
              <w:spacing w:after="0" w:before="0"/>
            </w:pPr>
            <w:r>
              <w:rPr>
                <w:rFonts w:ascii="Arial" w:cs="Arial" w:eastAsia="Arial" w:hAnsi="Arial"/>
                <w:i/>
                <w:iCs/>
                <w:color w:val="6B6B65"/>
                <w:sz w:val="20"/>
                <w:szCs w:val="20"/>
              </w:rPr>
              <w:t xml:space="preserve">Ce qui ne change pas quand tout change — et comment c'est mesuré</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0" w:before="0"/>
            </w:pPr>
            <w:r>
              <w:rPr>
                <w:rFonts w:ascii="Arial" w:cs="Arial" w:eastAsia="Arial" w:hAnsi="Arial"/>
                <w:color w:val="085041"/>
                <w:sz w:val="20"/>
                <w:szCs w:val="20"/>
              </w:rPr>
              <w:t xml:space="preserve">Ce que cette section révèle : La cohérence entre ce que l'organisation dit être et ce qu'elle fait réellement — et si cette cohérence est mesurée, intuitive, ou invisible.</w:t>
            </w:r>
          </w:p>
        </w:tc>
      </w:tr>
    </w:tbl>
    <w:p>
      <w:pPr>
        <w:spacing w:after="12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IDENTITÉ &amp; SENS</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1</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En une phrase, quelle est la raison d'être de votre organisation — non pas ce qu'elle fait, mais pourquoi elle existe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Distingue le 'quoi' (produit/service) du 'pourquoi' (sens). Beaucoup ne savent pas répondre sans hésiter.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2</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Si vous demandiez à 5 personnes différentes dans votre organisation de formuler cette raison d'être, obtiendriez-vous 5 réponses convergentes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Mesure la diffusion réelle du sens — pas la version officielle, mais ce qui est vécu.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3</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Quelles sont les 3 valeurs non-négociables de votre organisation — celles que vous ne sacrifieriez pas même sous pression économique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Liste ouverte</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Teste la solidité des racines. Les valeurs 'sous pression' sont les vraies valeurs.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4</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Dans quelle mesure les décisions stratégiques des 12 derniers mois reflètent-elles ces valeurs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 vrai test de cohérence : ce qu'on décide quand c'est difficile.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5</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une tension visible entre ce que l'organisation affirme être et ce qu'elle fait au quotidien ? Si oui, où se manifeste-t-elle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question la plus révélatrice de la section. Peu osent la poser directement.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6</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Dans 5 ans, qu'est-ce qui doit absolument avoir changé dans votre organisation ? Et qu'est-ce qui doit absolument rester intact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cohérence</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Distingue ce qui est racine (invariant) de ce qui est branche (évolutif). Fondamentale pour la suite de l'audit.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DATA &amp; SYSTÈMES DE MESURE</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7</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Mesurez-vous actuellement l'alignement entre votre raison d'être et vos opérations quotidiennes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oui : quels indicateurs utilisez-vous, et avec quels outils ou logiciels sont-ils collectés et suivis ? Si non : cette dimension est-elle suivie de façon informelle, ou absente de tout système de pilotage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Notion  ·  Google Forms  ·  Lattice  ·  aucun outil formel</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Révèle si la cohérence est intuitive ou tracée — et quel est le niveau de maturité de l'outillage existant.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8</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Collectez-vous des données sur l'engagement et le sentiment d'appartenance de vos équipes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oui : par quels canaux (surveys, entretiens, NPS interne…), à quelle fréquence, et via quels outils ou logiciels ? Si non : comment percevez-vous l'état d'engagement de vos équipes actuellement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fréquence + outils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Culture Amp  ·  Officevibe  ·  Typeform  ·  entretiens manuels  ·  rien de formel</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L'engagement souvent mesuré ponctuellement — rarement en continu. La fréquence et l'outillage disent autant que l'existence de la donnée.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9</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Ces données, une fois collectées, produisent-elles des décisions visibles et traçables — ou restent-elles dans des rapports que personne ne relit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 + texte libre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cohérence</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donnée qui ne produit pas d'action est plus dangereuse que l'absence de donnée — elle crée une illusion de pilotage.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10</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dimensions importantes de la vie de votre organisation — culture, cohésion, sens — dont vous savez qu'elles ne sont pas mesurées, et que vous aimeriez pouvoir suivre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Ouvre l'espace de ce qui est invisible et non mesuré — souvent là que résident les leviers les plus puissants de transformation.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r>
        <w:br w:type="page"/>
      </w:r>
    </w:p>
    <w:p>
      <w:pPr>
        <w:spacing w:after="0" w:before="4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9922" w:sz="6"/>
              <w:left w:val="none" w:color="FFFFFF" w:sz="0"/>
              <w:bottom w:val="none" w:color="FFFFFF" w:sz="0"/>
              <w:right w:val="none" w:color="FFFFFF" w:sz="0"/>
            </w:tcBorders>
            <w:shd w:fill="EAF3DE" w:val="clear"/>
            <w:tcMar>
              <w:top w:type="dxa" w:w="160"/>
              <w:left w:type="dxa" w:w="200"/>
              <w:bottom w:type="dxa" w:w="160"/>
              <w:right w:type="dxa" w:w="200"/>
            </w:tcMar>
          </w:tcPr>
          <w:p>
            <w:pPr>
              <w:spacing w:after="60" w:before="0"/>
            </w:pPr>
            <w:r>
              <w:rPr>
                <w:rFonts w:ascii="Arial" w:cs="Arial" w:eastAsia="Arial" w:hAnsi="Arial"/>
                <w:b/>
                <w:bCs/>
                <w:color w:val="639922"/>
                <w:spacing w:val="80"/>
                <w:sz w:val="16"/>
                <w:szCs w:val="16"/>
              </w:rPr>
              <w:t xml:space="preserve">SECTION 2 SUR 5</w:t>
            </w:r>
          </w:p>
          <w:p>
            <w:pPr>
              <w:spacing w:after="40" w:before="0"/>
            </w:pPr>
            <w:r>
              <w:rPr>
                <w:rFonts w:ascii="Arial" w:cs="Arial" w:eastAsia="Arial" w:hAnsi="Arial"/>
                <w:b/>
                <w:bCs/>
                <w:color w:val="1C1C1A"/>
                <w:sz w:val="32"/>
                <w:szCs w:val="32"/>
              </w:rPr>
              <w:t xml:space="preserve">Structure hiérarchique, Gouvernance &amp; Data</w:t>
            </w:r>
          </w:p>
          <w:p>
            <w:pPr>
              <w:spacing w:after="0" w:before="0"/>
            </w:pPr>
            <w:r>
              <w:rPr>
                <w:rFonts w:ascii="Arial" w:cs="Arial" w:eastAsia="Arial" w:hAnsi="Arial"/>
                <w:i/>
                <w:iCs/>
                <w:color w:val="6B6B65"/>
                <w:sz w:val="20"/>
                <w:szCs w:val="20"/>
              </w:rPr>
              <w:t xml:space="preserve">Comment les décisions circulent, qui détient quoi — et comment c'est mesuré</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639922"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AF3DE" w:val="clear"/>
            <w:tcMar>
              <w:top w:type="dxa" w:w="120"/>
              <w:left w:type="dxa" w:w="160"/>
              <w:bottom w:type="dxa" w:w="120"/>
              <w:right w:type="dxa" w:w="160"/>
            </w:tcMar>
          </w:tcPr>
          <w:p>
            <w:pPr>
              <w:spacing w:after="0" w:before="0"/>
            </w:pPr>
            <w:r>
              <w:rPr>
                <w:rFonts w:ascii="Arial" w:cs="Arial" w:eastAsia="Arial" w:hAnsi="Arial"/>
                <w:color w:val="085041"/>
                <w:sz w:val="20"/>
                <w:szCs w:val="20"/>
              </w:rPr>
              <w:t xml:space="preserve">Ce que cette section révèle : La santé du tronc organisationnel — comment les ressources, les décisions et l'autorité circulent réellement. Un tronc qui étouffe les branches tue l'adaptabilité. Un tronc absent crée le chaos.</w:t>
            </w:r>
          </w:p>
        </w:tc>
      </w:tr>
    </w:tbl>
    <w:p>
      <w:pPr>
        <w:spacing w:after="12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STRUCTURE &amp; CIRCULATION DÉCISIONNELLE</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1</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Décrivez votre structure hiérarchique — combien de niveaux, comment sont-ils organisés, et quel est l'effectif total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chiffres</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 nombre de niveaux hiérarchiques est déjà un signal fort sur la vitesse de circulation de l'information et des décisions.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2</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Estimez le pourcentage de décisions quotidiennes qui nécessitent une validation managériale avant d'être exécutées.</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 estimé</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Traduit directement en indice de distribution décisionnelle — leur chiffre devient le vôtre.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3</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Qui a le droit de décider quoi, sans demander la permission ? Est-ce formalisé quelque part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Oui / Partiel / Non</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Révèle si l'autorité est explicite ou tacite. L'autorité tacite crée des zones grises — source majeure de friction organisationnelle.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4</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Combien de temps s'écoule en moyenne entre l'identification d'un problème terrain et une décision de correction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Durée estimée</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de résilience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 délai de réponse systémique — c'est la mesure de vitalité la plus concrète que vous puissiez obtenir d'un dirigeant.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5</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personnes ou des équipes qui concentrent un pouvoir décisionnel disproportionné — créant des goulots d'étranglement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goulots d'étranglement décisionnels sont les points de fragilité systémique les plus courants — et les moins avoués.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ESPACES D'ÉCHANGE &amp; ÉCOUTE</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6</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Quels sont les espaces formels par lesquels vos équipes s'expriment — surveys, réunions régulières, entretiens individuels, cercles de parole ? Ces retours produisent-ils des changements visibles et traçables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Précisez la fréquence de chaque canal et si les résultats donnent lieu à des actions documentées.</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Liste + fréquence + Échelle 1–10</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Beaucoup d'organisations ont des espaces d'échange — très peu transforment les retours en actions visibles. L'écart est une source majeure de désengagement silencieux.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7</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Les équipes de terrain ont-elles leur mot à dire dans les décisions qui les concernent directement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Mesure la distance entre le centre de décision et le bord du système — là où l'information est la plus fraîche.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8</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Comment les désaccords stratégiques sont-ils traités — existe-t-il un protocole formel pour les exprimer et les résoudre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Oui / Partiel / Non</w:t>
            </w:r>
            <w:r>
              <w:rPr>
                <w:rFonts w:ascii="Arial" w:cs="Arial" w:eastAsia="Arial" w:hAnsi="Arial"/>
                <w:b/>
                <w:bCs/>
                <w:color w:val="085041"/>
                <w:sz w:val="17"/>
                <w:szCs w:val="17"/>
              </w:rPr>
              <w:t xml:space="preserve">   → Indice de résilience</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Une organisation sans protocole de désaccord accumule des tensions silencieuses — elles ressortent en crises au pire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9</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Votre organisation a-t-elle connu des restructurations hiérarchiques ces 3 dernières années ? Qu'est-ce que ça a produit concrètement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Non + texte libre</w:t>
            </w:r>
            <w:r>
              <w:rPr>
                <w:rFonts w:ascii="Arial" w:cs="Arial" w:eastAsia="Arial" w:hAnsi="Arial"/>
                <w:b/>
                <w:bCs/>
                <w:color w:val="085041"/>
                <w:sz w:val="17"/>
                <w:szCs w:val="17"/>
              </w:rPr>
              <w:t xml:space="preserve">   → Indice d'adaptabilité</w:t>
            </w:r>
            <w:r>
              <w:rPr>
                <w:rFonts w:ascii="Arial" w:cs="Arial" w:eastAsia="Arial" w:hAnsi="Arial"/>
                <w:b/>
                <w:bCs/>
                <w:color w:val="085041"/>
                <w:sz w:val="17"/>
                <w:szCs w:val="17"/>
              </w:rPr>
              <w:t xml:space="preserve">   → Indice de résilience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Révèle la capacité à se reconfigurer — et ce que les reconfigurations passées ont appris ou laissé comme cicatrices.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DATA &amp; OUTILS DE GOUVERNANCE</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10</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Utilisez-vous des outils pour suivre et piloter vos rituels de gouvernance — comités, revues stratégiques, OKRs, tableaux de bord décisionnels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oui : lesquels, et à quelle fréquence sont-ils consultés et mis à jour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outils + fréquence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cohérence</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Notion  ·  Asana  ·  Monday  ·  Confluence  ·  Google Sheets  ·  aucun outil formel</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rituels sans trace écrite ne produisent pas d'apprentissage organisationnel — ils se répètent sans évoluer.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11</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Mesurez-vous la vitesse et la qualité de vos prises de décision — délais, taux d'exécution, taux de révision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oui : comment et avec quels outils ? Si non : comment évaluez-vous l'efficacité de votre gouvernance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 + outils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tableaux de bord internes  ·  OKR tracking  ·  Power BI  ·  intuition managériale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Peu d'organisations mesurent la qualité de leur prise de décision. Ceux qui ne le font pas pilotent à vue — et le savent rarement.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r>
        <w:br w:type="page"/>
      </w:r>
    </w:p>
    <w:p>
      <w:pPr>
        <w:spacing w:after="0" w:before="4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6"/>
              <w:left w:val="none" w:color="FFFFFF" w:sz="0"/>
              <w:bottom w:val="none" w:color="FFFFFF" w:sz="0"/>
              <w:right w:val="none" w:color="FFFFFF" w:sz="0"/>
            </w:tcBorders>
            <w:shd w:fill="E6F1FB" w:val="clear"/>
            <w:tcMar>
              <w:top w:type="dxa" w:w="160"/>
              <w:left w:type="dxa" w:w="200"/>
              <w:bottom w:type="dxa" w:w="160"/>
              <w:right w:type="dxa" w:w="200"/>
            </w:tcMar>
          </w:tcPr>
          <w:p>
            <w:pPr>
              <w:spacing w:after="60" w:before="0"/>
            </w:pPr>
            <w:r>
              <w:rPr>
                <w:rFonts w:ascii="Arial" w:cs="Arial" w:eastAsia="Arial" w:hAnsi="Arial"/>
                <w:b/>
                <w:bCs/>
                <w:color w:val="378ADD"/>
                <w:spacing w:val="80"/>
                <w:sz w:val="16"/>
                <w:szCs w:val="16"/>
              </w:rPr>
              <w:t xml:space="preserve">SECTION 3 SUR 5</w:t>
            </w:r>
          </w:p>
          <w:p>
            <w:pPr>
              <w:spacing w:after="40" w:before="0"/>
            </w:pPr>
            <w:r>
              <w:rPr>
                <w:rFonts w:ascii="Arial" w:cs="Arial" w:eastAsia="Arial" w:hAnsi="Arial"/>
                <w:b/>
                <w:bCs/>
                <w:color w:val="1C1C1A"/>
                <w:sz w:val="32"/>
                <w:szCs w:val="32"/>
              </w:rPr>
              <w:t xml:space="preserve">Ressources humaines, Talents &amp; Vitalité</w:t>
            </w:r>
          </w:p>
          <w:p>
            <w:pPr>
              <w:spacing w:after="0" w:before="0"/>
            </w:pPr>
            <w:r>
              <w:rPr>
                <w:rFonts w:ascii="Arial" w:cs="Arial" w:eastAsia="Arial" w:hAnsi="Arial"/>
                <w:i/>
                <w:iCs/>
                <w:color w:val="6B6B65"/>
                <w:sz w:val="20"/>
                <w:szCs w:val="20"/>
              </w:rPr>
              <w:t xml:space="preserve">Les habitants de l'écosystème — leur énergie, leur mobilité, leurs connexions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378ADD"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0" w:before="0"/>
            </w:pPr>
            <w:r>
              <w:rPr>
                <w:rFonts w:ascii="Arial" w:cs="Arial" w:eastAsia="Arial" w:hAnsi="Arial"/>
                <w:color w:val="085041"/>
                <w:sz w:val="20"/>
                <w:szCs w:val="20"/>
              </w:rPr>
              <w:t xml:space="preserve">Ce que cette section révèle : La santé humaine réelle de l'organisation — au-delà des organigrammes et des fiches de poste. Un écosystème vivant mobilise ses talents selon leurs compétences réelles, régénère l'énergie plutôt que de l'extraire, et sait précisément qui il est et ce qu'il porte.</w:t>
            </w:r>
          </w:p>
        </w:tc>
      </w:tr>
    </w:tbl>
    <w:p>
      <w:pPr>
        <w:spacing w:after="12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COMPOSITION &amp; DONNÉES DÉMOGRAPHIQUES</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1</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Comment décririez-vous la composition de votre organisation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Démographie : répartition hommes/femmes, tranches d'âge, générations présentes. Diversité des profils : parcours, nationalités, façons de penser et d'apprendre. Ancienneté : ratio nouveaux arrivants / personnes de longue date. Ces données sont-elles formellement suivies quelque part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données chiffrées si disponibles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composition démographique et la diversité des profils sont les premiers indicateurs de résilience — une organisation homogène s'effondre au premier changement de contexte.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2</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Les talents de votre organisation sont-ils mobilisés selon leurs vraies compétences — ou selon les cases disponibles dans l'organigramme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 + texte</w:t>
            </w:r>
            <w:r>
              <w:rPr>
                <w:rFonts w:ascii="Arial" w:cs="Arial" w:eastAsia="Arial" w:hAnsi="Arial"/>
                <w:b/>
                <w:bCs/>
                <w:color w:val="085041"/>
                <w:sz w:val="17"/>
                <w:szCs w:val="17"/>
              </w:rPr>
              <w:t xml:space="preserve">   → Indice de vitalité humaine</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L'écart entre compétences réelles et rôles assignés est l'une des principales sources de désengagement invisible.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3</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Quel est votre taux de turnover sur les 12 derniers mois — et combien de temps s'écoule en moyenne entre le départ d'un talent et son remplacement opérationnel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 + durée estimée</w:t>
            </w:r>
            <w:r>
              <w:rPr>
                <w:rFonts w:ascii="Arial" w:cs="Arial" w:eastAsia="Arial" w:hAnsi="Arial"/>
                <w:b/>
                <w:bCs/>
                <w:color w:val="085041"/>
                <w:sz w:val="17"/>
                <w:szCs w:val="17"/>
              </w:rPr>
              <w:t xml:space="preserve">   → Indice de résilience</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 turnover dit ce qui part. Le délai de remplacement dit combien l'organisation est fragilisée par chaque départ — c'est votre indice de résilience humaine.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4</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Connaissez-vous les raisons réelles pour lesquelles vos talents partent — au-delà des réponses de façade données en entretien de sortie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w:t>
            </w:r>
            <w:r>
              <w:rPr>
                <w:rFonts w:ascii="Arial" w:cs="Arial" w:eastAsia="Arial" w:hAnsi="Arial"/>
                <w:b/>
                <w:bCs/>
                <w:color w:val="085041"/>
                <w:sz w:val="17"/>
                <w:szCs w:val="17"/>
              </w:rPr>
              <w:t xml:space="preserve">   → Indice de vitalité humaine</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vraies raisons de départ sont rarement dites formellement. Cette question révèle si l'organisation a une culture de l'écoute authentique — ou seulement procédurale.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5</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personnes dont vous savez qu'elles sont sous-utilisées — des talents invisibles qui portent plus que ce que leur rôle leur permet d'exprimer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vitalité humaine</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Révèle si le dirigeant voit vraiment ses équipes — ou seulement leurs fonctions.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ÉNERGIE, ENGAGEMENT &amp; RÉGÉNÉRATION</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6</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Comment décririez-vous l'état d'énergie général de vos équipes en ce moment — en expansion, stable, ou en épuisement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Comment mesurez-vous cet état — à quelle fréquence, et avec quels outils ou canaux d'écoute ? Si ce n'est pas mesuré formellement : sur quoi basez-vous votre perception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3 choix + texte + fréquence + outils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vitalité humaine</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pulse surveys  ·  1:1 managériaux  ·  baromètre annuel  ·  observation directe  ·  rien de formel</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L'énergie collective est le signal le plus immédiat de la santé d'un écosystème. La façon dont elle est mesurée révèle la culture de pilotage réelle.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7</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Votre organisation crée-t-elle des conditions de régénération — temps de récupération, espaces de réflexion, droit à l'erreur, congés réellement pris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 + texte</w:t>
            </w:r>
            <w:r>
              <w:rPr>
                <w:rFonts w:ascii="Arial" w:cs="Arial" w:eastAsia="Arial" w:hAnsi="Arial"/>
                <w:b/>
                <w:bCs/>
                <w:color w:val="085041"/>
                <w:sz w:val="17"/>
                <w:szCs w:val="17"/>
              </w:rPr>
              <w:t xml:space="preserve">   → Indice de régénération</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Un écosystème qui n'intègre pas la régénération s'épuise — exactement comme une forêt surexploitée. Ce n'est pas une question de bienveillance, c'est une question de durabilité systémique.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8</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Les initiatives spontanées — idées non sollicitées, projets lancés sans validation — sont-elles encouragées ou freinées dans votre organisation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 + exemple concret</w:t>
            </w:r>
            <w:r>
              <w:rPr>
                <w:rFonts w:ascii="Arial" w:cs="Arial" w:eastAsia="Arial" w:hAnsi="Arial"/>
                <w:b/>
                <w:bCs/>
                <w:color w:val="085041"/>
                <w:sz w:val="17"/>
                <w:szCs w:val="17"/>
              </w:rPr>
              <w:t xml:space="preserve">   → Indice d'adaptabilité</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fréquence des initiatives spontanées est un indicateur direct de la confiance que les équipes ont dans leur propre capacité à agir.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OUTILS RH &amp; SYSTÈMES DE GESTION DES TALENTS</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9</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Quels outils RH utilisez-vous pour gérer, évaluer et développer vos talents — outils d'évaluation de la performance, de cartographie des compétences, de gestion des potentiels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Précisez pour chaque outil : à quelle fréquence est-il utilisé, et par qui (RH seuls, managers, équipes)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Liste d'outils + fréquence + utilisateurs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9-Grid / 9-Box  ·  entretiens annuels  ·  360° feedback  ·  Workday  ·  BambooHR  ·  Lucca  ·  Leapsome  ·  aucun outil formel</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présence ou l'absence d'outils de gestion des potentiels révèle si l'organisation pense ses talents de façon systémique ou individuelle et intuitive.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10</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Disposez-vous d'un système de suivi des compétences et des trajectoires individuelles — et est-il réellement alimenté et consulté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non : comment identifiez-vous les compétences disponibles et les besoins à venir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outils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vitalité humaine</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SIRH dédié  ·  Notion / Excel  ·  cartographie manuelle  ·  aucun système formel</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L'organisation ne sait souvent pas ce qu'elle sait. L'absence de cartographie des compétences est l'un des angles morts les plus fréquents — et les plus coûteux.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11</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données RH que vous aimeriez avoir et que vous n'avez pas — sur les compétences, la mobilité interne, le bien-être, ou autre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Ce que le dirigeant voudrait mesurer et ne mesure pas encore révèle les angles morts conscients — et où votre intervention aura le plus de valeur perçue.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r>
        <w:br w:type="page"/>
      </w:r>
    </w:p>
    <w:p>
      <w:pPr>
        <w:spacing w:after="0" w:before="4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6"/>
              <w:left w:val="none" w:color="FFFFFF" w:sz="0"/>
              <w:bottom w:val="none" w:color="FFFFFF" w:sz="0"/>
              <w:right w:val="none" w:color="FFFFFF" w:sz="0"/>
            </w:tcBorders>
            <w:shd w:fill="FAECE7" w:val="clear"/>
            <w:tcMar>
              <w:top w:type="dxa" w:w="160"/>
              <w:left w:type="dxa" w:w="200"/>
              <w:bottom w:type="dxa" w:w="160"/>
              <w:right w:type="dxa" w:w="200"/>
            </w:tcMar>
          </w:tcPr>
          <w:p>
            <w:pPr>
              <w:spacing w:after="60" w:before="0"/>
            </w:pPr>
            <w:r>
              <w:rPr>
                <w:rFonts w:ascii="Arial" w:cs="Arial" w:eastAsia="Arial" w:hAnsi="Arial"/>
                <w:b/>
                <w:bCs/>
                <w:color w:val="D85A30"/>
                <w:spacing w:val="80"/>
                <w:sz w:val="16"/>
                <w:szCs w:val="16"/>
              </w:rPr>
              <w:t xml:space="preserve">SECTION 4 SUR 5</w:t>
            </w:r>
          </w:p>
          <w:p>
            <w:pPr>
              <w:spacing w:after="40" w:before="0"/>
            </w:pPr>
            <w:r>
              <w:rPr>
                <w:rFonts w:ascii="Arial" w:cs="Arial" w:eastAsia="Arial" w:hAnsi="Arial"/>
                <w:b/>
                <w:bCs/>
                <w:color w:val="1C1C1A"/>
                <w:sz w:val="32"/>
                <w:szCs w:val="32"/>
              </w:rPr>
              <w:t xml:space="preserve">Processus, Systèmes &amp; Flux opérationnels</w:t>
            </w:r>
          </w:p>
          <w:p>
            <w:pPr>
              <w:spacing w:after="0" w:before="0"/>
            </w:pPr>
            <w:r>
              <w:rPr>
                <w:rFonts w:ascii="Arial" w:cs="Arial" w:eastAsia="Arial" w:hAnsi="Arial"/>
                <w:i/>
                <w:iCs/>
                <w:color w:val="6B6B65"/>
                <w:sz w:val="20"/>
                <w:szCs w:val="20"/>
              </w:rPr>
              <w:t xml:space="preserve">Comment le travail circule réellement — et ce qui le freine ou l'accélère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85A30"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pPr>
              <w:spacing w:after="0" w:before="0"/>
            </w:pPr>
            <w:r>
              <w:rPr>
                <w:rFonts w:ascii="Arial" w:cs="Arial" w:eastAsia="Arial" w:hAnsi="Arial"/>
                <w:color w:val="085041"/>
                <w:sz w:val="20"/>
                <w:szCs w:val="20"/>
              </w:rPr>
              <w:t xml:space="preserve">Ce que cette section révèle : La qualité des flux opérationnels — là où la valeur se crée, se bloque ou se perd. Un processus vivant s'adapte au contexte ; un processus mort le contraint. Cette section cartographie l'outillage existant, les frictions invisibles, et la capacité du système à apprendre de son propre fonctionnement.</w:t>
            </w:r>
          </w:p>
        </w:tc>
      </w:tr>
    </w:tbl>
    <w:p>
      <w:pPr>
        <w:spacing w:after="12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PROCESSUS &amp; FLUX DE TRAVAIL</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1</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Quels sont les 3 processus les plus critiques de votre organisation — ceux dont l'interruption aurait l'impact le plus immédiat sur votre activité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Liste ouverte</w:t>
            </w:r>
            <w:r>
              <w:rPr>
                <w:rFonts w:ascii="Arial" w:cs="Arial" w:eastAsia="Arial" w:hAnsi="Arial"/>
                <w:b/>
                <w:bCs/>
                <w:color w:val="085041"/>
                <w:sz w:val="17"/>
                <w:szCs w:val="17"/>
              </w:rPr>
              <w:t xml:space="preserve">   → Indice de résilience</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Identifier les processus critiques révèle où se concentre la fragilité systémique — et quels sont les points de défaillance qui méritent une attention prioritaire.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2</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Ces processus sont-ils documentés, connus de tous, et réellement suivis — ou vivent-ils dans les têtes de quelques personnes clés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 + texte</w:t>
            </w:r>
            <w:r>
              <w:rPr>
                <w:rFonts w:ascii="Arial" w:cs="Arial" w:eastAsia="Arial" w:hAnsi="Arial"/>
                <w:b/>
                <w:bCs/>
                <w:color w:val="085041"/>
                <w:sz w:val="17"/>
                <w:szCs w:val="17"/>
              </w:rPr>
              <w:t xml:space="preserve">   → Indice de résilience</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Un processus qui vit dans la tête d'une seule personne est une dette organisationnelle — elle part un jour, et le processus part avec 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3</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Où se situent les principales frictions dans vos flux opérationnels — les endroits où le travail ralentit, se bloque, ou se perd systématiquement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frictions récurrentes sont les signaux les plus honnêtes du système. Elles indiquent où le design organisationnel est en désaccord avec la réalité du travail.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4</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Vos processus sont-ils revus et mis à jour régulièrement — ou restent-ils en place jusqu'à ce qu'ils créent une crise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Échelle 1–10 + fréquence de révision</w:t>
            </w:r>
            <w:r>
              <w:rPr>
                <w:rFonts w:ascii="Arial" w:cs="Arial" w:eastAsia="Arial" w:hAnsi="Arial"/>
                <w:b/>
                <w:bCs/>
                <w:color w:val="085041"/>
                <w:sz w:val="17"/>
                <w:szCs w:val="17"/>
              </w:rPr>
              <w:t xml:space="preserve">   → Indice d'adaptabilité</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Un processus qui ne se révise pas devient une contrainte — il finit par servir sa propre existence plutôt que le travail qu'il était censé faciliter.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5</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Lorsqu'un processus dysfonctionne, comment l'organisation le détecte-t-elle et le corrige-t-elle — de façon proactive ou en réaction à une plainte ou une crise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 mode de détection des dysfonctionnements révèle si le système s'auto-régule ou s'il attend d'être corrigé de l'extérieur — c'est le coeur du feedback adaptatif.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SYSTÈMES &amp; STACK TECHNOLOGIQUE</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6</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Quels sont les principaux outils et logiciels utilisés dans votre organisation pour faire fonctionner les opérations au quotidien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Listez-les par grande fonction : communication, gestion de projet, CRM, finance, production, RH, data/reporting.</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Liste par catégorie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Communication : Slack, Teams  ·  Projet : Asana, Monday, Notion  ·  CRM : Salesforce, HubSpot  ·  Finance : Sage, Pennylane  ·  Data : Power BI, Tableau</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cartographie du stack technologique révèle immédiatement le niveau de maturité opérationnelle — et les zones où des données existent sans être utilisées.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7</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Ces outils communiquent-ils entre eux — ou chaque équipe travaille-t-elle dans son propre silo technologique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Y a-t-il des intégrations en place, ou les données sont-elles ressaisies manuellement d'un outil à l'autre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Échelle 1–10</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circulation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silos technologiques reproduisent les silos humains. La fragmentation des outils est souvent le reflet exact de la fragmentation organisationnelle.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8</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Avez-vous un tableau de bord opérationnel consolidé — un endroit où l'état de santé global de votre activité est visible en temps réel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oui : qui y a accès, à quelle fréquence est-il consulté, et quelles décisions produit-il ? Si non : comment pilotez-vous l'activité au quotidien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 + outils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Power BI  ·  Tableau  ·  Google Data Studio  ·  dashboard Excel  ·  aucun tableau consolidé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L'absence de vue consolidée signifie que chaque fonction pilote son propre bout — sans vision systémique. C'est l'équivalent d'un écosystème dont les parties ne se voient pas.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APPRENTISSAGE OPÉRATIONNEL &amp; MÉMOIRE DES PROCESSUS</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9</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Quand un projet échoue ou qu'un processus produit un résultat inattendu, existe-t-il un mécanisme formel pour en tirer des enseignements collectifs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w:t>
            </w:r>
            <w:r>
              <w:rPr>
                <w:rFonts w:ascii="Arial" w:cs="Arial" w:eastAsia="Arial" w:hAnsi="Arial"/>
                <w:b/>
                <w:bCs/>
                <w:color w:val="085041"/>
                <w:sz w:val="17"/>
                <w:szCs w:val="17"/>
              </w:rPr>
              <w:t xml:space="preserve">   → Indice de régénération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 post-mortem ou rétrospective systématique est le compost organisationnel — sans lui, les mêmes erreurs se répètent à chaque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10</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processus ou des systèmes que vous savez obsolètes — que vous maintenez par inertie ou par manque de ressources pour les changer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d'adaptabilité</w:t>
            </w:r>
            <w:r>
              <w:rPr>
                <w:rFonts w:ascii="Arial" w:cs="Arial" w:eastAsia="Arial" w:hAnsi="Arial"/>
                <w:b/>
                <w:bCs/>
                <w:color w:val="085041"/>
                <w:sz w:val="17"/>
                <w:szCs w:val="17"/>
              </w:rPr>
              <w:t xml:space="preserve">   → Indice de résilience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systèmes zombies — maintenus en vie sans vraiment fonctionner — consomment de l'énergie sans produire de valeur. Les identifier est le premier pas pour les transformer.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r>
        <w:br w:type="page"/>
      </w:r>
    </w:p>
    <w:p>
      <w:pPr>
        <w:spacing w:after="0" w:before="4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534AB7"/>
                <w:spacing w:val="80"/>
                <w:sz w:val="16"/>
                <w:szCs w:val="16"/>
              </w:rPr>
              <w:t xml:space="preserve">SECTION 5 SUR 5</w:t>
            </w:r>
          </w:p>
          <w:p>
            <w:pPr>
              <w:spacing w:after="40" w:before="0"/>
            </w:pPr>
            <w:r>
              <w:rPr>
                <w:rFonts w:ascii="Arial" w:cs="Arial" w:eastAsia="Arial" w:hAnsi="Arial"/>
                <w:b/>
                <w:bCs/>
                <w:color w:val="1C1C1A"/>
                <w:sz w:val="32"/>
                <w:szCs w:val="32"/>
              </w:rPr>
              <w:t xml:space="preserve">Structure financière &amp; Flux de valeur</w:t>
            </w:r>
          </w:p>
          <w:p>
            <w:pPr>
              <w:spacing w:after="0" w:before="0"/>
            </w:pPr>
            <w:r>
              <w:rPr>
                <w:rFonts w:ascii="Arial" w:cs="Arial" w:eastAsia="Arial" w:hAnsi="Arial"/>
                <w:i/>
                <w:iCs/>
                <w:color w:val="6B6B65"/>
                <w:sz w:val="20"/>
                <w:szCs w:val="20"/>
              </w:rPr>
              <w:t xml:space="preserve">Comment la valeur est créée, distribuée et régénérée — la sève de l'écosystème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pPr>
              <w:spacing w:after="0" w:before="0"/>
            </w:pPr>
            <w:r>
              <w:rPr>
                <w:rFonts w:ascii="Arial" w:cs="Arial" w:eastAsia="Arial" w:hAnsi="Arial"/>
                <w:color w:val="085041"/>
                <w:sz w:val="20"/>
                <w:szCs w:val="20"/>
              </w:rPr>
              <w:t xml:space="preserve">Ce que cette section révèle : La santé financière d'un écosystème vivant ne se mesure pas uniquement à sa rentabilité instantanée — mais à sa capacité à créer de la valeur de façon durable, à la distribuer équitablement, et à réinvestir dans sa propre régénération.</w:t>
            </w:r>
          </w:p>
        </w:tc>
      </w:tr>
    </w:tbl>
    <w:p>
      <w:pPr>
        <w:spacing w:after="12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CRÉATION &amp; DISTRIBUTION DE VALEUR</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1</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Comment votre organisation génère-t-elle de la valeur — quelles sont vos principales sources de revenus, et leur poids relatif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Ex : produits, services, abonnements, licences, partenariats — et leur part respective dans le chiffre d'affaires.</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 par source</w:t>
            </w:r>
            <w:r>
              <w:rPr>
                <w:rFonts w:ascii="Arial" w:cs="Arial" w:eastAsia="Arial" w:hAnsi="Arial"/>
                <w:b/>
                <w:bCs/>
                <w:color w:val="085041"/>
                <w:sz w:val="17"/>
                <w:szCs w:val="17"/>
              </w:rPr>
              <w:t xml:space="preserve">   → Indice de résilience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concentration des revenus sur une seule source est un signal de fragilité systémique — comme un écosystème qui dépend d'une seule espèce pour survivre.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2</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Quelle est la trajectoire de votre chiffre d'affaires sur les 3 dernières années — et cette trajectoire reflète-t-elle la santé réelle de l'organisation ou masque-t-elle des fragilités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Chiffres + texte libre</w:t>
            </w:r>
            <w:r>
              <w:rPr>
                <w:rFonts w:ascii="Arial" w:cs="Arial" w:eastAsia="Arial" w:hAnsi="Arial"/>
                <w:b/>
                <w:bCs/>
                <w:color w:val="085041"/>
                <w:sz w:val="17"/>
                <w:szCs w:val="17"/>
              </w:rPr>
              <w:t xml:space="preserve">   → Indice de résilience</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croissance peut masquer des fragilités profondes — turnover élevé, marges en compression, dépendance à quelques clients clés. Cette question distingue performance apparente et vitalité réelle.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3</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Quelle part de vos revenus est récurrente — prévisible et stable — versus ponctuelle ou dépendante de quelques clients ou contrats majeurs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 estimé + texte</w:t>
            </w:r>
            <w:r>
              <w:rPr>
                <w:rFonts w:ascii="Arial" w:cs="Arial" w:eastAsia="Arial" w:hAnsi="Arial"/>
                <w:b/>
                <w:bCs/>
                <w:color w:val="085041"/>
                <w:sz w:val="17"/>
                <w:szCs w:val="17"/>
              </w:rPr>
              <w:t xml:space="preserve">   → Indice de résilience</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récurrence des revenus est l'équivalent financier des racines — elle détermine la capacité de l'organisation à traverser les turbulences sans s'effondrer.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4</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Comment la valeur créée est-elle distribuée dans l'organisation — entre actionnaires, direction, équipes, et réinvestissement dans l'activité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 + % si disponibles</w:t>
            </w:r>
            <w:r>
              <w:rPr>
                <w:rFonts w:ascii="Arial" w:cs="Arial" w:eastAsia="Arial" w:hAnsi="Arial"/>
                <w:b/>
                <w:bCs/>
                <w:color w:val="085041"/>
                <w:sz w:val="17"/>
                <w:szCs w:val="17"/>
              </w:rPr>
              <w:t xml:space="preserve">   → Indice de cohérence</w:t>
            </w:r>
            <w:r>
              <w:rPr>
                <w:rFonts w:ascii="Arial" w:cs="Arial" w:eastAsia="Arial" w:hAnsi="Arial"/>
                <w:b/>
                <w:bCs/>
                <w:color w:val="085041"/>
                <w:sz w:val="17"/>
                <w:szCs w:val="17"/>
              </w:rPr>
              <w:t xml:space="preserve">   → Indice de vitalité humaine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distribution de la valeur révèle les priorités réelles de l'organisation — au-delà de ce qu'elle dit sur ses valeurs. C'est souvent là que les tensions entre raison d'être et réalité opérationnelle sont les plus visibles.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INVESTISSEMENT &amp; RÉGÉNÉRATION</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5</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Quelle part de vos ressources est investie dans le développement des compétences, l'innovation, et la régénération de l'organisation elle-même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Formation, R&amp;D, expérimentations, bien-être des équipes, transformation organisationnelle.</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 du budget + texte</w:t>
            </w:r>
            <w:r>
              <w:rPr>
                <w:rFonts w:ascii="Arial" w:cs="Arial" w:eastAsia="Arial" w:hAnsi="Arial"/>
                <w:b/>
                <w:bCs/>
                <w:color w:val="085041"/>
                <w:sz w:val="17"/>
                <w:szCs w:val="17"/>
              </w:rPr>
              <w:t xml:space="preserve">   → Indice de régénération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Un écosystème qui ne réinvestit pas dans sa propre régénération s'appauvrit progressivement — même si ses résultats immédiats semblent bons. C'est le signal le plus précoce d'un épuisement systémique à venir.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6</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Votre organisation dispose-t-elle d'une réserve de trésorerie suffisante pour absorber un choc inattendu — perte d'un client majeur, crise sectorielle, départ clé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Mois de trésorerie estimés + texte</w:t>
            </w:r>
            <w:r>
              <w:rPr>
                <w:rFonts w:ascii="Arial" w:cs="Arial" w:eastAsia="Arial" w:hAnsi="Arial"/>
                <w:b/>
                <w:bCs/>
                <w:color w:val="085041"/>
                <w:sz w:val="17"/>
                <w:szCs w:val="17"/>
              </w:rPr>
              <w:t xml:space="preserve">   → Indice de résilience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trésorerie de précaution est l'équivalent financier des réserves d'un écosystème face à une sécheresse. Elle détermine combien de temps l'organisation peut tenir sans s'effondrer face à un choc.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1F5EE" w:val="clear"/>
            <w:tcMar>
              <w:top w:type="dxa" w:w="120"/>
              <w:left w:type="dxa" w:w="120"/>
              <w:bottom w:type="dxa" w:w="80"/>
              <w:right w:type="dxa" w:w="80"/>
            </w:tcMar>
          </w:tcPr>
          <w:p>
            <w:pPr>
              <w:jc w:val="center"/>
            </w:pPr>
            <w:r>
              <w:rPr>
                <w:rFonts w:ascii="Arial" w:cs="Arial" w:eastAsia="Arial" w:hAnsi="Arial"/>
                <w:b/>
                <w:bCs/>
                <w:color w:val="085041"/>
                <w:sz w:val="20"/>
                <w:szCs w:val="20"/>
              </w:rPr>
              <w:t xml:space="preserve">7</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investissements que vous différez depuis longtemps — technologie, formation, recrutement — parce que la pression court-terme ne laisse pas de place au long-terme ?</w:t>
            </w:r>
          </w:p>
        </w:tc>
      </w:tr>
      <w:tr>
        <w:tc>
          <w:tcPr>
            <w:tcW w:type="dxa" w:w="520"/>
            <w:tcBorders>
              <w:top w:val="none" w:color="FFFFFF" w:sz="0"/>
              <w:left w:val="none" w:color="FFFFFF" w:sz="0"/>
              <w:bottom w:val="none" w:color="FFFFFF" w:sz="0"/>
              <w:right w:val="none" w:color="FFFFFF" w:sz="0"/>
            </w:tcBorders>
            <w:shd w:fill="E1F5EE"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Indice de régénération</w:t>
            </w:r>
            <w:r>
              <w:rPr>
                <w:rFonts w:ascii="Arial" w:cs="Arial" w:eastAsia="Arial" w:hAnsi="Arial"/>
                <w:b/>
                <w:bCs/>
                <w:color w:val="085041"/>
                <w:sz w:val="17"/>
                <w:szCs w:val="17"/>
              </w:rPr>
              <w:t xml:space="preserve">   → Indice d'adaptabilité</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Les investissements différés sont les dettes de régénération — ils s'accumulent silencieusement jusqu'à ce que l'écart entre le système actuel et les besoins réels devienne insurmontable.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pBdr>
          <w:bottom w:val="single" w:color="E0DED8" w:sz="2" w:space="1"/>
        </w:pBdr>
        <w:spacing w:after="80" w:before="320"/>
      </w:pPr>
      <w:r>
        <w:rPr>
          <w:rFonts w:ascii="Arial" w:cs="Arial" w:eastAsia="Arial" w:hAnsi="Arial"/>
          <w:b/>
          <w:bCs/>
          <w:color w:val="9E9E96"/>
          <w:spacing w:val="80"/>
          <w:sz w:val="16"/>
          <w:szCs w:val="16"/>
        </w:rPr>
        <w:t xml:space="preserve">PILOTAGE FINANCIER &amp; DATA</w:t>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8</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Quels outils utilisez-vous pour piloter votre performance financière au quotidien — comptabilité, trésorerie, reporting, prévisions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Précisez qui produit ces données, qui les consulte, et à quelle fréquence elles alimentent des décisions concrètes.</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Liste d'outils + fréquence + utilisateurs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circulation</w:t>
            </w:r>
            <w:r>
              <w:rPr>
                <w:rFonts w:ascii="Arial" w:cs="Arial" w:eastAsia="Arial" w:hAnsi="Arial"/>
                <w:b/>
                <w:bCs/>
                <w:color w:val="085041"/>
                <w:sz w:val="17"/>
                <w:szCs w:val="17"/>
              </w:rPr>
              <w:t xml:space="preserve">   → Indice de cohérence</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Pennylane  ·  Sage  ·  QuickBooks  ·  Xero  ·  Excel / Google Sheets  ·  Power BI  ·  expert-comptable externe</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La fréquence à laquelle les données financières sont consultées et transformées en décisions révèle si l'organisation pilote en temps réel ou dans le rétroviseur.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9</w:t>
            </w:r>
          </w:p>
        </w:tc>
        <w:tc>
          <w:tcPr>
            <w:tcW w:type="dxa" w:w="8840"/>
            <w:tcBorders>
              <w:top w:val="none" w:color="FFFFFF" w:sz="0"/>
              <w:left w:val="none" w:color="FFFFFF" w:sz="0"/>
              <w:bottom w:val="none" w:color="FFFFFF" w:sz="0"/>
              <w:right w:val="none" w:color="FFFFFF" w:sz="0"/>
            </w:tcBorders>
            <w:tcMar>
              <w:top w:type="dxa" w:w="120"/>
              <w:left w:type="dxa" w:w="160"/>
              <w:bottom w:type="dxa" w:w="40"/>
              <w:right w:type="dxa" w:w="120"/>
            </w:tcMar>
          </w:tcPr>
          <w:p>
            <w:pPr>
              <w:spacing w:after="0" w:before="0"/>
            </w:pPr>
            <w:r>
              <w:rPr>
                <w:rFonts w:ascii="Arial" w:cs="Arial" w:eastAsia="Arial" w:hAnsi="Arial"/>
                <w:color w:val="1C1C1A"/>
                <w:sz w:val="22"/>
                <w:szCs w:val="22"/>
              </w:rPr>
              <w:t xml:space="preserve">Au-delà des indicateurs financiers classiques, mesurez-vous d'autres formes de valeur créée — impact social, satisfaction client, valeur perçue par les équipes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6B6B65"/>
                <w:sz w:val="19"/>
                <w:szCs w:val="19"/>
              </w:rPr>
              <w:t xml:space="preserve">Si oui : quels indicateurs, avec quels outils, et comment sont-ils intégrés dans vos décisions stratégiques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Oui / Partiel / Non + texte + outils</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cohérence</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i/>
                <w:iCs/>
                <w:color w:val="9E9E96"/>
                <w:sz w:val="17"/>
                <w:szCs w:val="17"/>
              </w:rPr>
              <w:t xml:space="preserve">Ex : NPS client  ·  bilan carbone  ·  indicateurs RSE  ·  impact reporting  ·  aucun indicateur non-financier</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Cette question est le pont entre leur univers de mesure et le vôtre. Une organisation qui ne mesure que la valeur financière ne voit qu'une partie de ce qu'elle crée — et de ce qu'elle détruit.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pPr>
        <w:spacing w:after="0" w:before="160"/>
      </w:pPr>
      <w:r>
        <w:t xml:space="preserve"/>
      </w:r>
    </w:p>
    <w:tbl>
      <w:tblPr>
        <w:tblW w:type="dxa" w:w="9360"/>
        <w:tblBorders>
          <w:top w:val="single" w:color="E0DED8" w:sz="1"/>
          <w:left w:val="none" w:color="FFFFFF" w:sz="0"/>
          <w:bottom w:val="single" w:color="E0DED8" w:sz="1"/>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AEEDA" w:val="clear"/>
            <w:tcMar>
              <w:top w:type="dxa" w:w="120"/>
              <w:left w:type="dxa" w:w="120"/>
              <w:bottom w:type="dxa" w:w="80"/>
              <w:right w:type="dxa" w:w="80"/>
            </w:tcMar>
          </w:tcPr>
          <w:p>
            <w:pPr>
              <w:jc w:val="center"/>
            </w:pPr>
            <w:r>
              <w:rPr>
                <w:rFonts w:ascii="Arial" w:cs="Arial" w:eastAsia="Arial" w:hAnsi="Arial"/>
                <w:b/>
                <w:bCs/>
                <w:color w:val="633806"/>
                <w:sz w:val="20"/>
                <w:szCs w:val="20"/>
              </w:rPr>
              <w:t xml:space="preserve">10</w:t>
            </w:r>
          </w:p>
        </w:tc>
        <w:tc>
          <w:tcPr>
            <w:tcW w:type="dxa" w:w="8840"/>
            <w:tcBorders>
              <w:top w:val="none" w:color="FFFFFF" w:sz="0"/>
              <w:left w:val="none" w:color="FFFFFF" w:sz="0"/>
              <w:bottom w:val="none" w:color="FFFFFF" w:sz="0"/>
              <w:right w:val="none" w:color="FFFFFF" w:sz="0"/>
            </w:tcBorders>
            <w:tcMar>
              <w:top w:type="dxa" w:w="120"/>
              <w:left w:type="dxa" w:w="160"/>
              <w:bottom w:type="dxa" w:w="120"/>
              <w:right w:type="dxa" w:w="120"/>
            </w:tcMar>
          </w:tcPr>
          <w:p>
            <w:pPr>
              <w:spacing w:after="0" w:before="0"/>
            </w:pPr>
            <w:r>
              <w:rPr>
                <w:rFonts w:ascii="Arial" w:cs="Arial" w:eastAsia="Arial" w:hAnsi="Arial"/>
                <w:color w:val="1C1C1A"/>
                <w:sz w:val="22"/>
                <w:szCs w:val="22"/>
              </w:rPr>
              <w:t xml:space="preserve">Y a-t-il des dimensions de votre santé financière que vous ne mesurez pas aujourd'hui — et que vous aimeriez pouvoir suivre ?</w:t>
            </w:r>
          </w:p>
        </w:tc>
      </w:tr>
      <w:tr>
        <w:tc>
          <w:tcPr>
            <w:tcW w:type="dxa" w:w="520"/>
            <w:tcBorders>
              <w:top w:val="none" w:color="FFFFFF" w:sz="0"/>
              <w:left w:val="none" w:color="FFFFFF" w:sz="0"/>
              <w:bottom w:val="none" w:color="FFFFFF" w:sz="0"/>
              <w:right w:val="none" w:color="FFFFFF" w:sz="0"/>
            </w:tcBorders>
            <w:shd w:fill="FAEEDA" w:val="clear"/>
            <w:tcMar>
              <w:top w:type="dxa" w:w="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tcMar>
              <w:top w:type="dxa" w:w="0"/>
              <w:left w:type="dxa" w:w="160"/>
              <w:bottom w:type="dxa" w:w="80"/>
              <w:right w:type="dxa" w:w="120"/>
            </w:tcMar>
          </w:tcPr>
          <w:p>
            <w:pPr>
              <w:spacing w:after="0" w:before="0"/>
            </w:pPr>
            <w:r>
              <w:rPr>
                <w:rFonts w:ascii="Arial" w:cs="Arial" w:eastAsia="Arial" w:hAnsi="Arial"/>
                <w:b w:val="false"/>
                <w:bCs w:val="false"/>
                <w:color w:val="6B6B65"/>
                <w:sz w:val="17"/>
                <w:szCs w:val="17"/>
              </w:rPr>
              <w:t xml:space="preserve">Type : Texte libre</w:t>
            </w:r>
            <w:r>
              <w:rPr>
                <w:rFonts w:ascii="Arial" w:cs="Arial" w:eastAsia="Arial" w:hAnsi="Arial"/>
                <w:b/>
                <w:bCs/>
                <w:color w:val="085041"/>
                <w:sz w:val="17"/>
                <w:szCs w:val="17"/>
              </w:rPr>
              <w:t xml:space="preserve">   → Maturité data</w:t>
            </w:r>
            <w:r>
              <w:rPr>
                <w:rFonts w:ascii="Arial" w:cs="Arial" w:eastAsia="Arial" w:hAnsi="Arial"/>
                <w:b/>
                <w:bCs/>
                <w:color w:val="085041"/>
                <w:sz w:val="17"/>
                <w:szCs w:val="17"/>
              </w:rPr>
              <w:t xml:space="preserve">   → Indice de régénération</w:t>
            </w:r>
          </w:p>
        </w:tc>
      </w:tr>
      <w:tr>
        <w:tc>
          <w:tcPr>
            <w:tcW w:type="dxa" w:w="520"/>
            <w:tcBorders>
              <w:top w:val="none" w:color="FFFFFF" w:sz="0"/>
              <w:left w:val="none" w:color="FFFFFF" w:sz="0"/>
              <w:bottom w:val="none" w:color="FFFFFF" w:sz="0"/>
              <w:right w:val="none" w:color="FFFFFF" w:sz="0"/>
            </w:tcBorders>
            <w:shd w:fill="F5F5F3" w:val="clear"/>
            <w:tcMar>
              <w:top w:type="dxa" w:w="80"/>
              <w:left w:type="dxa" w:w="0"/>
              <w:bottom w:type="dxa" w:w="80"/>
              <w:right w:type="dxa" w:w="0"/>
            </w:tcMar>
          </w:tcPr>
          <w:p>
            <w:r>
              <w:t xml:space="preserve"/>
            </w:r>
          </w:p>
        </w:tc>
        <w:tc>
          <w:tcPr>
            <w:tcW w:type="dxa" w:w="8840"/>
            <w:tcBorders>
              <w:top w:val="none" w:color="FFFFFF" w:sz="0"/>
              <w:left w:val="none" w:color="FFFFFF" w:sz="0"/>
              <w:bottom w:val="none" w:color="FFFFFF" w:sz="0"/>
              <w:right w:val="none" w:color="FFFFFF" w:sz="0"/>
            </w:tcBorders>
            <w:shd w:fill="F5F5F3" w:val="clear"/>
            <w:tcMar>
              <w:top w:type="dxa" w:w="80"/>
              <w:left w:type="dxa" w:w="160"/>
              <w:bottom w:type="dxa" w:w="80"/>
              <w:right w:type="dxa" w:w="120"/>
            </w:tcMar>
          </w:tcPr>
          <w:p>
            <w:pPr>
              <w:spacing w:after="0" w:before="0"/>
            </w:pPr>
            <w:r>
              <w:rPr>
                <w:rFonts w:ascii="Arial" w:cs="Arial" w:eastAsia="Arial" w:hAnsi="Arial"/>
                <w:i/>
                <w:iCs/>
                <w:color w:val="9E9E96"/>
                <w:sz w:val="18"/>
                <w:szCs w:val="18"/>
              </w:rPr>
              <w:t xml:space="preserve">Clôture symétrique aux sections précédentes — ce que le dirigeant voudrait voir et ne voit pas encore ouvre directement la conversation sur une vision élargie de la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FAF8" w:val="clear"/>
            <w:tcMar>
              <w:top w:type="dxa" w:w="80"/>
              <w:left w:type="dxa" w:w="160"/>
              <w:bottom w:type="dxa" w:w="200"/>
              <w:right w:type="dxa" w:w="160"/>
            </w:tcMar>
          </w:tcPr>
          <w:p>
            <w:pPr>
              <w:spacing w:after="60" w:before="0"/>
            </w:pPr>
            <w:r>
              <w:rPr>
                <w:rFonts w:ascii="Arial" w:cs="Arial" w:eastAsia="Arial" w:hAnsi="Arial"/>
                <w:i/>
                <w:iCs/>
                <w:color w:val="9E9E96"/>
                <w:sz w:val="17"/>
                <w:szCs w:val="17"/>
              </w:rPr>
              <w:t xml:space="preserve">Votre réponse :</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c>
      </w:tr>
    </w:tbl>
    <w:p>
      <w:pPr>
        <w:spacing w:after="80" w:before="0"/>
      </w:pPr>
      <w:r>
        <w:t xml:space="preserve"/>
      </w:r>
    </w:p>
    <w:p>
      <w:r>
        <w:br w:type="page"/>
      </w:r>
    </w:p>
    <w:p>
      <w:pPr>
        <w:pBdr>
          <w:top w:val="single" w:color="1D9E75" w:sz="4" w:space="1"/>
        </w:pBdr>
        <w:spacing w:after="200" w:before="400"/>
      </w:pPr>
      <w:r>
        <w:rPr>
          <w:sz w:val="24"/>
          <w:szCs w:val="24"/>
        </w:rPr>
        <w:t xml:space="preserve"/>
      </w:r>
    </w:p>
    <w:p>
      <w:pPr>
        <w:spacing w:after="120" w:before="0"/>
        <w:jc w:val="center"/>
      </w:pPr>
      <w:r>
        <w:rPr>
          <w:rFonts w:ascii="Arial" w:cs="Arial" w:eastAsia="Arial" w:hAnsi="Arial"/>
          <w:b/>
          <w:bCs/>
          <w:color w:val="085041"/>
          <w:sz w:val="28"/>
          <w:szCs w:val="28"/>
        </w:rPr>
        <w:t xml:space="preserve">Ecosystem Intelligence Audit™</w:t>
      </w:r>
    </w:p>
    <w:p>
      <w:pPr>
        <w:spacing w:after="80" w:before="0"/>
        <w:jc w:val="center"/>
      </w:pPr>
      <w:r>
        <w:rPr>
          <w:rFonts w:ascii="Arial" w:cs="Arial" w:eastAsia="Arial" w:hAnsi="Arial"/>
          <w:i/>
          <w:iCs/>
          <w:color w:val="6B6B65"/>
          <w:sz w:val="20"/>
          <w:szCs w:val="20"/>
        </w:rPr>
        <w:t xml:space="preserve">5 sections  ·  52 questions  ·  6 indices de vitalité organisationnelle</w:t>
      </w:r>
    </w:p>
    <w:p>
      <w:pPr>
        <w:spacing w:after="40" w:before="80"/>
        <w:jc w:val="center"/>
      </w:pPr>
      <w:r>
        <w:rPr>
          <w:rFonts w:ascii="Arial" w:cs="Arial" w:eastAsia="Arial" w:hAnsi="Arial"/>
          <w:color w:val="9E9E96"/>
          <w:sz w:val="18"/>
          <w:szCs w:val="18"/>
        </w:rPr>
        <w:t xml:space="preserve">Indice de cohérence  ·  Indice de circulation  ·  Indice de résilience</w:t>
      </w:r>
    </w:p>
    <w:p>
      <w:pPr>
        <w:spacing w:after="40" w:before="0"/>
        <w:jc w:val="center"/>
      </w:pPr>
      <w:r>
        <w:rPr>
          <w:rFonts w:ascii="Arial" w:cs="Arial" w:eastAsia="Arial" w:hAnsi="Arial"/>
          <w:color w:val="9E9E96"/>
          <w:sz w:val="18"/>
          <w:szCs w:val="18"/>
        </w:rPr>
        <w:t xml:space="preserve">Indice de vitalité humaine  ·  Indice d'adaptabilité  ·  Indice de régénération</w:t>
      </w:r>
    </w:p>
    <w:p>
      <w:pPr>
        <w:spacing w:after="0" w:before="200"/>
        <w:jc w:val="center"/>
      </w:pPr>
      <w:r>
        <w:rPr>
          <w:rFonts w:ascii="Arial" w:cs="Arial" w:eastAsia="Arial" w:hAnsi="Arial"/>
          <w:color w:val="B4B2A9"/>
          <w:sz w:val="17"/>
          <w:szCs w:val="17"/>
        </w:rPr>
        <w:t xml:space="preserve">Rinki Ohen Conseil  ·  Marceline Le Gaufey  ·  rinkiohenconseil.com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C1C1A"/>
      <w:sz w:val="36"/>
      <w:szCs w:val="36"/>
    </w:rPr>
  </w:style>
  <w:style w:type="paragraph" w:styleId="Heading2">
    <w:name w:val="Heading 2"/>
    <w:basedOn w:val="Normal"/>
    <w:next w:val="Normal"/>
    <w:qFormat/>
    <w:pPr>
      <w:spacing w:after="100" w:before="180"/>
      <w:outlineLvl w:val="1"/>
    </w:pPr>
    <w:rPr>
      <w:rFonts w:ascii="Arial" w:cs="Arial" w:eastAsia="Arial" w:hAnsi="Arial"/>
      <w:b/>
      <w:bCs/>
      <w:color w:val="0850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2026-04-24T13:59:50.109Z</dcterms:created>
  <dcterms:modified xsi:type="dcterms:W3CDTF">2026-04-24T13:59:50.110Z</dcterms:modified>
</cp:coreProperties>
</file>

<file path=docProps/custom.xml><?xml version="1.0" encoding="utf-8"?>
<Properties xmlns="http://schemas.openxmlformats.org/officeDocument/2006/custom-properties" xmlns:vt="http://schemas.openxmlformats.org/officeDocument/2006/docPropsVTypes"/>
</file>