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479" w:rsidRPr="000B2479" w:rsidRDefault="000B2479" w:rsidP="000B2479">
      <w:pPr>
        <w:spacing w:after="0" w:line="240" w:lineRule="auto"/>
        <w:jc w:val="center"/>
        <w:rPr>
          <w:rFonts w:ascii="Segoe UI" w:hAnsi="Segoe UI" w:cs="Segoe UI"/>
          <w:b/>
          <w:bCs/>
          <w:sz w:val="18"/>
          <w:szCs w:val="18"/>
          <w:shd w:val="clear" w:color="auto" w:fill="FFFFFF"/>
          <w:lang w:val="en-US"/>
        </w:rPr>
      </w:pPr>
      <w:bookmarkStart w:id="0" w:name="_Toc156989127"/>
      <w:r w:rsidRPr="000B2479">
        <w:rPr>
          <w:rFonts w:ascii="Segoe UI" w:hAnsi="Segoe UI" w:cs="Segoe UI"/>
          <w:b/>
          <w:bCs/>
          <w:sz w:val="18"/>
          <w:szCs w:val="18"/>
          <w:shd w:val="clear" w:color="auto" w:fill="FFFFFF"/>
          <w:lang w:val="en-US"/>
        </w:rPr>
        <w:t xml:space="preserve">Socio-Ecological Study around </w:t>
      </w:r>
      <w:proofErr w:type="spellStart"/>
      <w:r w:rsidRPr="000B2479">
        <w:rPr>
          <w:rFonts w:ascii="Segoe UI" w:hAnsi="Segoe UI" w:cs="Segoe UI"/>
          <w:b/>
          <w:bCs/>
          <w:sz w:val="18"/>
          <w:szCs w:val="18"/>
          <w:shd w:val="clear" w:color="auto" w:fill="FFFFFF"/>
          <w:lang w:val="en-US"/>
        </w:rPr>
        <w:t>Kahuzi-Biega</w:t>
      </w:r>
      <w:proofErr w:type="spellEnd"/>
      <w:r w:rsidRPr="000B2479">
        <w:rPr>
          <w:rFonts w:ascii="Segoe UI" w:hAnsi="Segoe UI" w:cs="Segoe UI"/>
          <w:b/>
          <w:bCs/>
          <w:sz w:val="18"/>
          <w:szCs w:val="18"/>
          <w:shd w:val="clear" w:color="auto" w:fill="FFFFFF"/>
          <w:lang w:val="en-US"/>
        </w:rPr>
        <w:t xml:space="preserve"> National </w:t>
      </w:r>
      <w:r>
        <w:rPr>
          <w:rFonts w:ascii="Segoe UI" w:hAnsi="Segoe UI" w:cs="Segoe UI"/>
          <w:b/>
          <w:bCs/>
          <w:sz w:val="18"/>
          <w:szCs w:val="18"/>
          <w:shd w:val="clear" w:color="auto" w:fill="FFFFFF"/>
          <w:lang w:val="en-US"/>
        </w:rPr>
        <w:t>Park: Survey on</w:t>
      </w:r>
      <w:r w:rsidRPr="000B2479">
        <w:rPr>
          <w:rFonts w:ascii="Segoe UI" w:hAnsi="Segoe UI" w:cs="Segoe UI"/>
          <w:b/>
          <w:bCs/>
          <w:sz w:val="18"/>
          <w:szCs w:val="18"/>
          <w:shd w:val="clear" w:color="auto" w:fill="FFFFFF"/>
          <w:lang w:val="en-US"/>
        </w:rPr>
        <w:t xml:space="preserve"> Local Perceptions of Forest Ecosystem Services, </w:t>
      </w:r>
      <w:r>
        <w:rPr>
          <w:rFonts w:ascii="Segoe UI" w:hAnsi="Segoe UI" w:cs="Segoe UI"/>
          <w:b/>
          <w:bCs/>
          <w:sz w:val="18"/>
          <w:szCs w:val="18"/>
          <w:shd w:val="clear" w:color="auto" w:fill="FFFFFF"/>
          <w:lang w:val="en-US"/>
        </w:rPr>
        <w:t>willingness to pay, and Commitment</w:t>
      </w:r>
      <w:r w:rsidRPr="000B2479">
        <w:rPr>
          <w:rFonts w:ascii="Segoe UI" w:hAnsi="Segoe UI" w:cs="Segoe UI"/>
          <w:b/>
          <w:bCs/>
          <w:sz w:val="18"/>
          <w:szCs w:val="18"/>
          <w:shd w:val="clear" w:color="auto" w:fill="FFFFFF"/>
          <w:lang w:val="en-US"/>
        </w:rPr>
        <w:t xml:space="preserve"> in</w:t>
      </w:r>
      <w:r>
        <w:rPr>
          <w:rFonts w:ascii="Segoe UI" w:hAnsi="Segoe UI" w:cs="Segoe UI"/>
          <w:b/>
          <w:bCs/>
          <w:sz w:val="18"/>
          <w:szCs w:val="18"/>
          <w:shd w:val="clear" w:color="auto" w:fill="FFFFFF"/>
          <w:lang w:val="en-US"/>
        </w:rPr>
        <w:t xml:space="preserve"> Forest</w:t>
      </w:r>
      <w:r w:rsidRPr="000B2479">
        <w:rPr>
          <w:rFonts w:ascii="Segoe UI" w:hAnsi="Segoe UI" w:cs="Segoe UI"/>
          <w:b/>
          <w:bCs/>
          <w:sz w:val="18"/>
          <w:szCs w:val="18"/>
          <w:shd w:val="clear" w:color="auto" w:fill="FFFFFF"/>
          <w:lang w:val="en-US"/>
        </w:rPr>
        <w:t xml:space="preserve"> Conservation</w:t>
      </w:r>
    </w:p>
    <w:p w:rsidR="00611FD3" w:rsidRDefault="00611FD3" w:rsidP="000B2479">
      <w:pPr>
        <w:spacing w:after="0" w:line="240" w:lineRule="auto"/>
        <w:jc w:val="center"/>
        <w:rPr>
          <w:rFonts w:eastAsia="Trebuchet MS" w:cs="Times New Roman"/>
          <w:b/>
          <w:sz w:val="18"/>
          <w:szCs w:val="18"/>
          <w:lang w:val="en-US"/>
        </w:rPr>
        <w:sectPr w:rsidR="00611FD3" w:rsidSect="001A03A6">
          <w:type w:val="continuous"/>
          <w:pgSz w:w="11906" w:h="16838"/>
          <w:pgMar w:top="1417" w:right="1417" w:bottom="1417" w:left="1417" w:header="708" w:footer="680" w:gutter="0"/>
          <w:pgNumType w:fmt="numberInDash" w:start="1"/>
          <w:cols w:space="708"/>
          <w:titlePg/>
          <w:docGrid w:linePitch="360"/>
        </w:sectPr>
      </w:pPr>
    </w:p>
    <w:p w:rsidR="000B2479" w:rsidRPr="000B2479" w:rsidRDefault="000B2479" w:rsidP="000B2479">
      <w:pPr>
        <w:spacing w:after="0" w:line="240" w:lineRule="auto"/>
        <w:jc w:val="center"/>
        <w:rPr>
          <w:rFonts w:eastAsia="Trebuchet MS" w:cs="Times New Roman"/>
          <w:b/>
          <w:sz w:val="18"/>
          <w:szCs w:val="18"/>
          <w:lang w:val="en-US"/>
        </w:rPr>
      </w:pPr>
    </w:p>
    <w:p w:rsidR="00611FD3" w:rsidRDefault="00474E61" w:rsidP="00F145A9">
      <w:pPr>
        <w:spacing w:after="0" w:line="240" w:lineRule="auto"/>
        <w:rPr>
          <w:rFonts w:eastAsia="Trebuchet MS" w:cs="Times New Roman"/>
          <w:b/>
          <w:sz w:val="18"/>
          <w:szCs w:val="18"/>
          <w:lang w:val="en-US"/>
        </w:rPr>
      </w:pPr>
      <w:r w:rsidRPr="00FB0B34">
        <w:rPr>
          <w:rFonts w:eastAsia="Trebuchet MS" w:cs="Times New Roman"/>
          <w:b/>
          <w:sz w:val="18"/>
          <w:szCs w:val="18"/>
          <w:lang w:val="en-US"/>
        </w:rPr>
        <w:t xml:space="preserve"> </w:t>
      </w:r>
      <w:r w:rsidR="00FB0B34">
        <w:rPr>
          <w:rFonts w:eastAsia="Trebuchet MS" w:cs="Times New Roman"/>
          <w:b/>
          <w:sz w:val="18"/>
          <w:szCs w:val="18"/>
          <w:lang w:val="en-US"/>
        </w:rPr>
        <w:t xml:space="preserve">                                                                                       </w:t>
      </w:r>
    </w:p>
    <w:p w:rsidR="00611FD3" w:rsidRDefault="00611FD3" w:rsidP="00F145A9">
      <w:pPr>
        <w:spacing w:after="0" w:line="240" w:lineRule="auto"/>
        <w:rPr>
          <w:rFonts w:eastAsia="Trebuchet MS" w:cs="Times New Roman"/>
          <w:b/>
          <w:sz w:val="18"/>
          <w:szCs w:val="18"/>
          <w:lang w:val="en-US"/>
        </w:rPr>
      </w:pPr>
    </w:p>
    <w:p w:rsidR="00810173" w:rsidRDefault="00810173" w:rsidP="00810173">
      <w:pPr>
        <w:spacing w:after="0" w:line="240" w:lineRule="auto"/>
        <w:ind w:left="-284"/>
        <w:rPr>
          <w:rFonts w:eastAsia="Trebuchet MS" w:cs="Times New Roman"/>
          <w:i/>
          <w:sz w:val="18"/>
          <w:szCs w:val="18"/>
          <w:lang w:val="en-US"/>
        </w:rPr>
        <w:sectPr w:rsidR="00810173" w:rsidSect="001A03A6">
          <w:type w:val="continuous"/>
          <w:pgSz w:w="11906" w:h="16838"/>
          <w:pgMar w:top="1417" w:right="1417" w:bottom="1417" w:left="1417" w:header="708" w:footer="680" w:gutter="0"/>
          <w:pgNumType w:fmt="numberInDash" w:start="1"/>
          <w:cols w:space="708"/>
          <w:titlePg/>
          <w:docGrid w:linePitch="360"/>
        </w:sectPr>
      </w:pPr>
    </w:p>
    <w:p w:rsidR="00611FD3" w:rsidRPr="00810173" w:rsidRDefault="00810173" w:rsidP="00810173">
      <w:pPr>
        <w:spacing w:after="0" w:line="240" w:lineRule="auto"/>
        <w:ind w:left="-284"/>
        <w:jc w:val="center"/>
        <w:rPr>
          <w:rFonts w:eastAsia="Trebuchet MS" w:cs="Times New Roman"/>
          <w:i/>
          <w:sz w:val="18"/>
          <w:szCs w:val="18"/>
          <w:lang w:val="en-US"/>
        </w:rPr>
      </w:pPr>
      <w:r w:rsidRPr="00810173">
        <w:rPr>
          <w:rFonts w:eastAsia="Trebuchet MS" w:cs="Times New Roman"/>
          <w:i/>
          <w:sz w:val="18"/>
          <w:szCs w:val="18"/>
          <w:lang w:val="en-US"/>
        </w:rPr>
        <w:lastRenderedPageBreak/>
        <w:t>Research project</w:t>
      </w:r>
    </w:p>
    <w:p w:rsidR="00810173" w:rsidRDefault="00810173" w:rsidP="00F145A9">
      <w:pPr>
        <w:spacing w:after="0" w:line="240" w:lineRule="auto"/>
        <w:jc w:val="both"/>
        <w:rPr>
          <w:rFonts w:eastAsia="Trebuchet MS" w:cs="Times New Roman"/>
          <w:sz w:val="18"/>
          <w:szCs w:val="18"/>
          <w:lang w:val="en-US"/>
        </w:rPr>
        <w:sectPr w:rsidR="00810173" w:rsidSect="001A03A6">
          <w:type w:val="continuous"/>
          <w:pgSz w:w="11906" w:h="16838"/>
          <w:pgMar w:top="1417" w:right="1417" w:bottom="1417" w:left="1417" w:header="708" w:footer="680" w:gutter="0"/>
          <w:pgNumType w:fmt="numberInDash" w:start="1"/>
          <w:cols w:space="708"/>
          <w:titlePg/>
          <w:docGrid w:linePitch="360"/>
        </w:sectPr>
      </w:pPr>
    </w:p>
    <w:p w:rsidR="000B2A21" w:rsidRPr="00FB0B34" w:rsidRDefault="000B2A21" w:rsidP="00F145A9">
      <w:pPr>
        <w:spacing w:after="0" w:line="240" w:lineRule="auto"/>
        <w:jc w:val="both"/>
        <w:rPr>
          <w:rFonts w:eastAsia="Trebuchet MS" w:cs="Times New Roman"/>
          <w:sz w:val="18"/>
          <w:szCs w:val="18"/>
          <w:lang w:val="en-US"/>
        </w:rPr>
      </w:pPr>
    </w:p>
    <w:p w:rsidR="008B2D2B" w:rsidRDefault="008B2D2B" w:rsidP="00F145A9">
      <w:pPr>
        <w:spacing w:after="0" w:line="240" w:lineRule="auto"/>
        <w:jc w:val="both"/>
        <w:rPr>
          <w:rFonts w:eastAsia="Trebuchet MS" w:cs="Times New Roman"/>
          <w:b/>
          <w:sz w:val="18"/>
          <w:szCs w:val="18"/>
          <w:lang w:val="en-US"/>
        </w:rPr>
        <w:sectPr w:rsidR="008B2D2B" w:rsidSect="001A03A6">
          <w:type w:val="continuous"/>
          <w:pgSz w:w="11906" w:h="16838"/>
          <w:pgMar w:top="1417" w:right="1417" w:bottom="1417" w:left="1417" w:header="708" w:footer="680" w:gutter="0"/>
          <w:pgNumType w:fmt="numberInDash" w:start="1"/>
          <w:cols w:space="708"/>
          <w:titlePg/>
          <w:docGrid w:linePitch="360"/>
        </w:sectPr>
      </w:pPr>
    </w:p>
    <w:p w:rsidR="001A03A6" w:rsidRDefault="001A03A6" w:rsidP="001A03A6">
      <w:pPr>
        <w:spacing w:after="0" w:line="240" w:lineRule="auto"/>
        <w:jc w:val="both"/>
        <w:rPr>
          <w:sz w:val="18"/>
          <w:szCs w:val="18"/>
          <w:lang w:val="en-US"/>
        </w:rPr>
      </w:pPr>
      <w:r w:rsidRPr="001A03A6">
        <w:rPr>
          <w:b/>
          <w:sz w:val="18"/>
          <w:szCs w:val="18"/>
          <w:lang w:val="en-US"/>
        </w:rPr>
        <w:lastRenderedPageBreak/>
        <w:t>Abstract:</w:t>
      </w:r>
      <w:r w:rsidRPr="001A03A6">
        <w:rPr>
          <w:sz w:val="18"/>
          <w:szCs w:val="18"/>
          <w:lang w:val="en-US"/>
        </w:rPr>
        <w:t xml:space="preserve"> </w:t>
      </w:r>
      <w:r w:rsidRPr="001A03A6">
        <w:rPr>
          <w:sz w:val="18"/>
          <w:szCs w:val="18"/>
          <w:lang w:val="en-US"/>
        </w:rPr>
        <w:t xml:space="preserve">Although the impact of deforestation has been profound around the </w:t>
      </w:r>
      <w:proofErr w:type="spellStart"/>
      <w:r w:rsidRPr="001A03A6">
        <w:rPr>
          <w:sz w:val="18"/>
          <w:szCs w:val="18"/>
          <w:lang w:val="en-US"/>
        </w:rPr>
        <w:t>Kahuzi-Biega</w:t>
      </w:r>
      <w:proofErr w:type="spellEnd"/>
      <w:r w:rsidRPr="001A03A6">
        <w:rPr>
          <w:sz w:val="18"/>
          <w:szCs w:val="18"/>
          <w:lang w:val="en-US"/>
        </w:rPr>
        <w:t xml:space="preserve"> National Park (KBNP) in South Kivu, Democratic Republic of Congo, local communities continue to depend heavily on forest ecosystem services. This study focuses on the local perceptions of these services and their engagement in conservation efforts across six villages: </w:t>
      </w:r>
      <w:proofErr w:type="spellStart"/>
      <w:r w:rsidRPr="001A03A6">
        <w:rPr>
          <w:sz w:val="18"/>
          <w:szCs w:val="18"/>
          <w:lang w:val="en-US"/>
        </w:rPr>
        <w:t>Caminunu</w:t>
      </w:r>
      <w:proofErr w:type="spellEnd"/>
      <w:r w:rsidRPr="001A03A6">
        <w:rPr>
          <w:sz w:val="18"/>
          <w:szCs w:val="18"/>
          <w:lang w:val="en-US"/>
        </w:rPr>
        <w:t xml:space="preserve">, </w:t>
      </w:r>
      <w:proofErr w:type="spellStart"/>
      <w:r w:rsidRPr="001A03A6">
        <w:rPr>
          <w:sz w:val="18"/>
          <w:szCs w:val="18"/>
          <w:lang w:val="en-US"/>
        </w:rPr>
        <w:t>Cifunzi</w:t>
      </w:r>
      <w:proofErr w:type="spellEnd"/>
      <w:r w:rsidRPr="001A03A6">
        <w:rPr>
          <w:sz w:val="18"/>
          <w:szCs w:val="18"/>
          <w:lang w:val="en-US"/>
        </w:rPr>
        <w:t xml:space="preserve">, </w:t>
      </w:r>
      <w:proofErr w:type="spellStart"/>
      <w:r w:rsidRPr="001A03A6">
        <w:rPr>
          <w:sz w:val="18"/>
          <w:szCs w:val="18"/>
          <w:lang w:val="en-US"/>
        </w:rPr>
        <w:t>Cibinda</w:t>
      </w:r>
      <w:proofErr w:type="spellEnd"/>
      <w:r w:rsidRPr="001A03A6">
        <w:rPr>
          <w:sz w:val="18"/>
          <w:szCs w:val="18"/>
          <w:lang w:val="en-US"/>
        </w:rPr>
        <w:t xml:space="preserve">, </w:t>
      </w:r>
      <w:proofErr w:type="spellStart"/>
      <w:r w:rsidRPr="001A03A6">
        <w:rPr>
          <w:sz w:val="18"/>
          <w:szCs w:val="18"/>
          <w:lang w:val="en-US"/>
        </w:rPr>
        <w:t>Fendula</w:t>
      </w:r>
      <w:proofErr w:type="spellEnd"/>
      <w:r w:rsidRPr="001A03A6">
        <w:rPr>
          <w:sz w:val="18"/>
          <w:szCs w:val="18"/>
          <w:lang w:val="en-US"/>
        </w:rPr>
        <w:t xml:space="preserve">, Mule, and Rambo, located within the </w:t>
      </w:r>
      <w:proofErr w:type="spellStart"/>
      <w:r w:rsidRPr="001A03A6">
        <w:rPr>
          <w:sz w:val="18"/>
          <w:szCs w:val="18"/>
          <w:lang w:val="en-US"/>
        </w:rPr>
        <w:t>Kalonge</w:t>
      </w:r>
      <w:proofErr w:type="spellEnd"/>
      <w:r w:rsidRPr="001A03A6">
        <w:rPr>
          <w:sz w:val="18"/>
          <w:szCs w:val="18"/>
          <w:lang w:val="en-US"/>
        </w:rPr>
        <w:t xml:space="preserve"> </w:t>
      </w:r>
      <w:proofErr w:type="spellStart"/>
      <w:r w:rsidRPr="001A03A6">
        <w:rPr>
          <w:sz w:val="18"/>
          <w:szCs w:val="18"/>
          <w:lang w:val="en-US"/>
        </w:rPr>
        <w:t>groupement</w:t>
      </w:r>
      <w:proofErr w:type="spellEnd"/>
      <w:r w:rsidRPr="001A03A6">
        <w:rPr>
          <w:sz w:val="18"/>
          <w:szCs w:val="18"/>
          <w:lang w:val="en-US"/>
        </w:rPr>
        <w:t xml:space="preserve">. Utilizing a socio-ecological approach, the survey revealed that provisioning services are deemed most crucial, recognized by 64.7% to 82.4% of respondents. Support services are acknowledged by 11.8% to 29.4% of participants, while regulation services are less frequently mentioned, with only 5.9% citing their importance. Additionally, the willingness to pay for conservation initiatives was assessed, with a higher frequency of respondents (particularly in </w:t>
      </w:r>
      <w:proofErr w:type="spellStart"/>
      <w:r w:rsidRPr="001A03A6">
        <w:rPr>
          <w:sz w:val="18"/>
          <w:szCs w:val="18"/>
          <w:lang w:val="en-US"/>
        </w:rPr>
        <w:t>Cibinda</w:t>
      </w:r>
      <w:proofErr w:type="spellEnd"/>
      <w:r w:rsidRPr="001A03A6">
        <w:rPr>
          <w:sz w:val="18"/>
          <w:szCs w:val="18"/>
          <w:lang w:val="en-US"/>
        </w:rPr>
        <w:t xml:space="preserve">, </w:t>
      </w:r>
      <w:proofErr w:type="spellStart"/>
      <w:r w:rsidRPr="001A03A6">
        <w:rPr>
          <w:sz w:val="18"/>
          <w:szCs w:val="18"/>
          <w:lang w:val="en-US"/>
        </w:rPr>
        <w:t>Cifunzi</w:t>
      </w:r>
      <w:proofErr w:type="spellEnd"/>
      <w:r w:rsidRPr="001A03A6">
        <w:rPr>
          <w:sz w:val="18"/>
          <w:szCs w:val="18"/>
          <w:lang w:val="en-US"/>
        </w:rPr>
        <w:t>, Mule, and Rambo) showing a preference for contributing at the 0.50 level. In contrast, the lowest willingness to pay (0.00) was observed less frequently across all villages. These findings highlight the critical need for tailored conservation strategies that consider both the economic capabilities and ecological priorities of local communities. Future studies could explore long-term trends in willingness to pay and investigate the effectiveness of various conservation interventions, providing a deeper understanding of how to sustain both biodiversity and livelihoods in the face of ongoing environmental challenges.</w:t>
      </w:r>
    </w:p>
    <w:p w:rsidR="001A03A6" w:rsidRDefault="001A03A6" w:rsidP="001A03A6">
      <w:pPr>
        <w:spacing w:after="0" w:line="240" w:lineRule="auto"/>
        <w:jc w:val="both"/>
        <w:rPr>
          <w:rFonts w:eastAsia="Trebuchet MS" w:cs="Times New Roman"/>
          <w:sz w:val="18"/>
          <w:szCs w:val="18"/>
          <w:lang w:val="en-US"/>
        </w:rPr>
      </w:pPr>
    </w:p>
    <w:p w:rsidR="001A03A6" w:rsidRPr="001A03A6" w:rsidRDefault="001A03A6" w:rsidP="001A03A6">
      <w:pPr>
        <w:spacing w:after="0" w:line="240" w:lineRule="auto"/>
        <w:jc w:val="both"/>
        <w:rPr>
          <w:rFonts w:eastAsia="Trebuchet MS" w:cs="Times New Roman"/>
          <w:sz w:val="18"/>
          <w:szCs w:val="18"/>
          <w:lang w:val="en-US"/>
        </w:rPr>
      </w:pPr>
      <w:r w:rsidRPr="001A03A6">
        <w:rPr>
          <w:rStyle w:val="lev"/>
          <w:sz w:val="18"/>
          <w:szCs w:val="18"/>
          <w:lang w:val="en-US"/>
        </w:rPr>
        <w:t>Keywords:</w:t>
      </w:r>
      <w:r w:rsidRPr="001A03A6">
        <w:rPr>
          <w:sz w:val="18"/>
          <w:szCs w:val="18"/>
          <w:lang w:val="en-US"/>
        </w:rPr>
        <w:t xml:space="preserve"> Deforestation, Forest Ecosystem Services, </w:t>
      </w:r>
      <w:proofErr w:type="spellStart"/>
      <w:r w:rsidRPr="001A03A6">
        <w:rPr>
          <w:sz w:val="18"/>
          <w:szCs w:val="18"/>
          <w:lang w:val="en-US"/>
        </w:rPr>
        <w:t>Kahuzi-Biega</w:t>
      </w:r>
      <w:proofErr w:type="spellEnd"/>
      <w:r w:rsidRPr="001A03A6">
        <w:rPr>
          <w:sz w:val="18"/>
          <w:szCs w:val="18"/>
          <w:lang w:val="en-US"/>
        </w:rPr>
        <w:t xml:space="preserve"> National Park, Community Engagement, Socio-Ecological Approach, Willingness t</w:t>
      </w:r>
      <w:r>
        <w:rPr>
          <w:sz w:val="18"/>
          <w:szCs w:val="18"/>
          <w:lang w:val="en-US"/>
        </w:rPr>
        <w:t>o Pay, Conservation Strategies</w:t>
      </w:r>
      <w:r w:rsidRPr="001A03A6">
        <w:rPr>
          <w:sz w:val="18"/>
          <w:szCs w:val="18"/>
          <w:lang w:val="en-US"/>
        </w:rPr>
        <w:t>, Biodiversity, Sustainable Livelihoods.</w:t>
      </w:r>
    </w:p>
    <w:p w:rsidR="001A03A6" w:rsidRDefault="001A03A6" w:rsidP="001A03A6">
      <w:pPr>
        <w:spacing w:after="0" w:line="240" w:lineRule="auto"/>
        <w:jc w:val="both"/>
        <w:rPr>
          <w:rFonts w:eastAsia="Trebuchet MS" w:cs="Times New Roman"/>
          <w:sz w:val="18"/>
          <w:szCs w:val="18"/>
          <w:lang w:val="en-US"/>
        </w:rPr>
      </w:pPr>
    </w:p>
    <w:p w:rsidR="001A03A6" w:rsidRPr="001A03A6" w:rsidRDefault="001A03A6" w:rsidP="001A03A6">
      <w:pPr>
        <w:spacing w:after="0" w:line="240" w:lineRule="auto"/>
        <w:jc w:val="both"/>
        <w:rPr>
          <w:rFonts w:eastAsia="Trebuchet MS" w:cs="Times New Roman"/>
          <w:sz w:val="18"/>
          <w:szCs w:val="18"/>
          <w:lang w:val="en-US"/>
        </w:rPr>
        <w:sectPr w:rsidR="001A03A6" w:rsidRPr="001A03A6" w:rsidSect="001A03A6">
          <w:type w:val="continuous"/>
          <w:pgSz w:w="11906" w:h="16838"/>
          <w:pgMar w:top="1417" w:right="1417" w:bottom="1417" w:left="1417" w:header="708" w:footer="680" w:gutter="0"/>
          <w:pgNumType w:fmt="numberInDash" w:start="1"/>
          <w:cols w:space="708"/>
          <w:titlePg/>
          <w:docGrid w:linePitch="360"/>
        </w:sectPr>
      </w:pPr>
    </w:p>
    <w:p w:rsidR="008B2D2B" w:rsidRDefault="006341C3" w:rsidP="00F145A9">
      <w:pPr>
        <w:pStyle w:val="Paragraphedeliste"/>
        <w:numPr>
          <w:ilvl w:val="0"/>
          <w:numId w:val="5"/>
        </w:numPr>
        <w:spacing w:after="0" w:line="240" w:lineRule="auto"/>
        <w:jc w:val="both"/>
        <w:rPr>
          <w:rFonts w:eastAsia="Trebuchet MS" w:cs="Times New Roman"/>
          <w:b/>
          <w:sz w:val="18"/>
          <w:szCs w:val="18"/>
          <w:lang w:val="en-US"/>
        </w:rPr>
      </w:pPr>
      <w:r w:rsidRPr="00FB0B34">
        <w:rPr>
          <w:rFonts w:eastAsia="Trebuchet MS" w:cs="Times New Roman"/>
          <w:b/>
          <w:sz w:val="18"/>
          <w:szCs w:val="18"/>
          <w:lang w:val="en-US"/>
        </w:rPr>
        <w:lastRenderedPageBreak/>
        <w:t>I</w:t>
      </w:r>
      <w:r w:rsidR="00E30465" w:rsidRPr="00FB0B34">
        <w:rPr>
          <w:rFonts w:eastAsia="Trebuchet MS" w:cs="Times New Roman"/>
          <w:b/>
          <w:sz w:val="18"/>
          <w:szCs w:val="18"/>
          <w:lang w:val="en-US"/>
        </w:rPr>
        <w:t>ntroduction</w:t>
      </w:r>
    </w:p>
    <w:p w:rsidR="001A03A6" w:rsidRPr="001A03A6" w:rsidRDefault="001A03A6" w:rsidP="001A03A6">
      <w:pPr>
        <w:pStyle w:val="NormalWeb"/>
        <w:jc w:val="both"/>
        <w:rPr>
          <w:sz w:val="18"/>
          <w:szCs w:val="18"/>
          <w:lang w:val="en-US"/>
        </w:rPr>
      </w:pPr>
      <w:r w:rsidRPr="001A03A6">
        <w:rPr>
          <w:sz w:val="18"/>
          <w:szCs w:val="18"/>
          <w:lang w:val="en-US"/>
        </w:rPr>
        <w:t xml:space="preserve">The </w:t>
      </w:r>
      <w:proofErr w:type="spellStart"/>
      <w:r w:rsidRPr="001A03A6">
        <w:rPr>
          <w:sz w:val="18"/>
          <w:szCs w:val="18"/>
          <w:lang w:val="en-US"/>
        </w:rPr>
        <w:t>Kahuzi-Biega</w:t>
      </w:r>
      <w:proofErr w:type="spellEnd"/>
      <w:r w:rsidRPr="001A03A6">
        <w:rPr>
          <w:sz w:val="18"/>
          <w:szCs w:val="18"/>
          <w:lang w:val="en-US"/>
        </w:rPr>
        <w:t xml:space="preserve"> National Park (KBNP), situated in the eastern Democratic Republic of the Congo (DRC), is a UNESCO World Heritage site renowned for its exceptional biodiversity. The park is particularly famous for being home to the critically endangered Eastern Lowland Gorilla (</w:t>
      </w:r>
      <w:r w:rsidRPr="001A03A6">
        <w:rPr>
          <w:rStyle w:val="Accentuation"/>
          <w:sz w:val="18"/>
          <w:szCs w:val="18"/>
          <w:lang w:val="en-US"/>
        </w:rPr>
        <w:t xml:space="preserve">Gorilla </w:t>
      </w:r>
      <w:proofErr w:type="spellStart"/>
      <w:r w:rsidRPr="001A03A6">
        <w:rPr>
          <w:rStyle w:val="Accentuation"/>
          <w:sz w:val="18"/>
          <w:szCs w:val="18"/>
          <w:lang w:val="en-US"/>
        </w:rPr>
        <w:t>beringei</w:t>
      </w:r>
      <w:proofErr w:type="spellEnd"/>
      <w:r w:rsidRPr="001A03A6">
        <w:rPr>
          <w:rStyle w:val="Accentuation"/>
          <w:sz w:val="18"/>
          <w:szCs w:val="18"/>
          <w:lang w:val="en-US"/>
        </w:rPr>
        <w:t xml:space="preserve"> </w:t>
      </w:r>
      <w:proofErr w:type="spellStart"/>
      <w:r w:rsidRPr="001A03A6">
        <w:rPr>
          <w:rStyle w:val="Accentuation"/>
          <w:sz w:val="18"/>
          <w:szCs w:val="18"/>
          <w:lang w:val="en-US"/>
        </w:rPr>
        <w:t>graueri</w:t>
      </w:r>
      <w:proofErr w:type="spellEnd"/>
      <w:r w:rsidRPr="001A03A6">
        <w:rPr>
          <w:sz w:val="18"/>
          <w:szCs w:val="18"/>
          <w:lang w:val="en-US"/>
        </w:rPr>
        <w:t xml:space="preserve">), which continues to draw global attention (UNESCO, 2023). KBNP spans an impressive area of over 6,000 square kilometers, encompassing both lowland and </w:t>
      </w:r>
      <w:proofErr w:type="spellStart"/>
      <w:r w:rsidRPr="001A03A6">
        <w:rPr>
          <w:sz w:val="18"/>
          <w:szCs w:val="18"/>
          <w:lang w:val="en-US"/>
        </w:rPr>
        <w:t>montane</w:t>
      </w:r>
      <w:proofErr w:type="spellEnd"/>
      <w:r w:rsidRPr="001A03A6">
        <w:rPr>
          <w:sz w:val="18"/>
          <w:szCs w:val="18"/>
          <w:lang w:val="en-US"/>
        </w:rPr>
        <w:t xml:space="preserve"> forests. This vast expanse plays a vital role in the conservation of numerous species, many of which are endemic or endangered, and serves as a critical source of ecosystem services that sustain the livelihoods of the surrounding communities (Imani, 2017).</w:t>
      </w:r>
    </w:p>
    <w:p w:rsidR="001A03A6" w:rsidRPr="001A03A6" w:rsidRDefault="001A03A6" w:rsidP="001A03A6">
      <w:pPr>
        <w:pStyle w:val="NormalWeb"/>
        <w:jc w:val="both"/>
        <w:rPr>
          <w:sz w:val="18"/>
          <w:szCs w:val="18"/>
          <w:lang w:val="en-US"/>
        </w:rPr>
      </w:pPr>
      <w:r w:rsidRPr="001A03A6">
        <w:rPr>
          <w:sz w:val="18"/>
          <w:szCs w:val="18"/>
          <w:lang w:val="en-US"/>
        </w:rPr>
        <w:t>However, the park faces mounting challenges that threaten its ecological integrity and the well-being of local populations. Deforestation, poaching, and human encroachment are persistent issues exacerbated by socio-economic pressures and political instability in the region (</w:t>
      </w:r>
      <w:proofErr w:type="spellStart"/>
      <w:r w:rsidRPr="001A03A6">
        <w:rPr>
          <w:sz w:val="18"/>
          <w:szCs w:val="18"/>
          <w:lang w:val="en-US"/>
        </w:rPr>
        <w:t>Balezi</w:t>
      </w:r>
      <w:proofErr w:type="spellEnd"/>
      <w:r w:rsidRPr="001A03A6">
        <w:rPr>
          <w:sz w:val="18"/>
          <w:szCs w:val="18"/>
          <w:lang w:val="en-US"/>
        </w:rPr>
        <w:t>, 2023). These threats not only jeopardize the rich biodiversity within the park but also compromise the ability of the forests to provide essential ecosystem services, such as carbon sequestration, water regulation, and soil fertility (Ferguson, 2022). The degradation of these services has direct and often severe consequences for the local communities who depend on them for their daily needs.</w:t>
      </w:r>
    </w:p>
    <w:p w:rsidR="001A03A6" w:rsidRPr="001A03A6" w:rsidRDefault="001A03A6" w:rsidP="001A03A6">
      <w:pPr>
        <w:pStyle w:val="NormalWeb"/>
        <w:jc w:val="both"/>
        <w:rPr>
          <w:sz w:val="18"/>
          <w:szCs w:val="18"/>
          <w:lang w:val="en-US"/>
        </w:rPr>
      </w:pPr>
      <w:r w:rsidRPr="001A03A6">
        <w:rPr>
          <w:sz w:val="18"/>
          <w:szCs w:val="18"/>
          <w:lang w:val="en-US"/>
        </w:rPr>
        <w:t>Given these challenges, there is a pressing need to understand local perceptions of forest ecosystem services and the extent to which communities are willing to engage in conservation activities. Such understanding is crucial for developing effective conservation strategies that are both ecologically sound and socially acceptable. Ecosystem services, as defined by the Millennium Ecosystem Assessment (2005), are the benefits that humans derive from ecosystems. These include provisioning services like food and water, regulating services such as climate regulation and disease control, supporting services like nutrient cycling, and cultural services that provide recreational, spiritual, and aesthetic benefits. In the context of KBNP, the surrounding communities rely heavily on these services, particularly through agriculture, the collection of non-timber forest products (NTFPs), and water supply (</w:t>
      </w:r>
      <w:proofErr w:type="spellStart"/>
      <w:r w:rsidRPr="001A03A6">
        <w:rPr>
          <w:sz w:val="18"/>
          <w:szCs w:val="18"/>
          <w:lang w:val="en-US"/>
        </w:rPr>
        <w:t>Balezi</w:t>
      </w:r>
      <w:proofErr w:type="spellEnd"/>
      <w:r w:rsidRPr="001A03A6">
        <w:rPr>
          <w:sz w:val="18"/>
          <w:szCs w:val="18"/>
          <w:lang w:val="en-US"/>
        </w:rPr>
        <w:t>, 2023).</w:t>
      </w:r>
    </w:p>
    <w:p w:rsidR="001A03A6" w:rsidRPr="001A03A6" w:rsidRDefault="001A03A6" w:rsidP="001A03A6">
      <w:pPr>
        <w:pStyle w:val="NormalWeb"/>
        <w:jc w:val="both"/>
        <w:rPr>
          <w:sz w:val="18"/>
          <w:szCs w:val="18"/>
          <w:lang w:val="en-US"/>
        </w:rPr>
      </w:pPr>
      <w:r w:rsidRPr="001A03A6">
        <w:rPr>
          <w:sz w:val="18"/>
          <w:szCs w:val="18"/>
          <w:lang w:val="en-US"/>
        </w:rPr>
        <w:t xml:space="preserve">The importance of ecosystem services to local communities cannot be overstated. Recent studies have highlighted the critical role that local knowledge and perceptions play in shaping conservation outcomes. Incorporating local perspectives into conservation planning not only enhances the ecological effectiveness of conservation strategies but also ensures that they are more likely to be accepted and supported by the communities involved (Jean de </w:t>
      </w:r>
      <w:proofErr w:type="spellStart"/>
      <w:r w:rsidRPr="001A03A6">
        <w:rPr>
          <w:sz w:val="18"/>
          <w:szCs w:val="18"/>
          <w:lang w:val="en-US"/>
        </w:rPr>
        <w:t>Dieu</w:t>
      </w:r>
      <w:proofErr w:type="spellEnd"/>
      <w:r w:rsidRPr="001A03A6">
        <w:rPr>
          <w:sz w:val="18"/>
          <w:szCs w:val="18"/>
          <w:lang w:val="en-US"/>
        </w:rPr>
        <w:t xml:space="preserve"> et al., 2015; </w:t>
      </w:r>
      <w:proofErr w:type="spellStart"/>
      <w:r w:rsidRPr="001A03A6">
        <w:rPr>
          <w:sz w:val="18"/>
          <w:szCs w:val="18"/>
          <w:lang w:val="en-US"/>
        </w:rPr>
        <w:t>Balezi</w:t>
      </w:r>
      <w:proofErr w:type="spellEnd"/>
      <w:r w:rsidRPr="001A03A6">
        <w:rPr>
          <w:sz w:val="18"/>
          <w:szCs w:val="18"/>
          <w:lang w:val="en-US"/>
        </w:rPr>
        <w:t xml:space="preserve"> et al., 2023). Local communities often possess a deep understanding of the ecological processes and cultural significance of their landscapes, which can be leveraged to promote sustainable forest management and conservation initiatives (</w:t>
      </w:r>
      <w:proofErr w:type="spellStart"/>
      <w:r w:rsidRPr="001A03A6">
        <w:rPr>
          <w:sz w:val="18"/>
          <w:szCs w:val="18"/>
          <w:lang w:val="en-US"/>
        </w:rPr>
        <w:t>Mukumba</w:t>
      </w:r>
      <w:proofErr w:type="spellEnd"/>
      <w:r w:rsidRPr="001A03A6">
        <w:rPr>
          <w:sz w:val="18"/>
          <w:szCs w:val="18"/>
          <w:lang w:val="en-US"/>
        </w:rPr>
        <w:t xml:space="preserve"> et al., 2022).</w:t>
      </w:r>
    </w:p>
    <w:p w:rsidR="001A03A6" w:rsidRPr="001A03A6" w:rsidRDefault="001A03A6" w:rsidP="001A03A6">
      <w:pPr>
        <w:pStyle w:val="NormalWeb"/>
        <w:jc w:val="both"/>
        <w:rPr>
          <w:sz w:val="18"/>
          <w:szCs w:val="18"/>
          <w:lang w:val="en-US"/>
        </w:rPr>
      </w:pPr>
      <w:r w:rsidRPr="001A03A6">
        <w:rPr>
          <w:sz w:val="18"/>
          <w:szCs w:val="18"/>
          <w:lang w:val="en-US"/>
        </w:rPr>
        <w:t>Despite this, there remains a significant gap in our understanding of how these communities perceive the value of forest ecosystem services and their willingness to support conservation efforts. Perceptions of ecosystem services can vary widely among different stakeholders, influenced by factors such as socio-economic status, education, and proximity to the forest (Elisabeth et al., 2024). For instance, communities that are heavily dependent on forest resources for their livelihoods may place a higher value on provisioning services, while those further away may appreciate the cultural or regulating services provided by the forest (</w:t>
      </w:r>
      <w:proofErr w:type="spellStart"/>
      <w:r w:rsidRPr="001A03A6">
        <w:rPr>
          <w:sz w:val="18"/>
          <w:szCs w:val="18"/>
          <w:lang w:val="en-US"/>
        </w:rPr>
        <w:t>Berihu</w:t>
      </w:r>
      <w:proofErr w:type="spellEnd"/>
      <w:r w:rsidRPr="001A03A6">
        <w:rPr>
          <w:sz w:val="18"/>
          <w:szCs w:val="18"/>
          <w:lang w:val="en-US"/>
        </w:rPr>
        <w:t xml:space="preserve"> et al., 2024). Understanding these diverse perceptions is crucial for designing conservation interventions that are aligned with local priorities and capacities.</w:t>
      </w:r>
    </w:p>
    <w:p w:rsidR="001A03A6" w:rsidRPr="001A03A6" w:rsidRDefault="001A03A6" w:rsidP="001A03A6">
      <w:pPr>
        <w:pStyle w:val="NormalWeb"/>
        <w:jc w:val="both"/>
        <w:rPr>
          <w:sz w:val="18"/>
          <w:szCs w:val="18"/>
          <w:lang w:val="en-US"/>
        </w:rPr>
      </w:pPr>
      <w:r w:rsidRPr="001A03A6">
        <w:rPr>
          <w:sz w:val="18"/>
          <w:szCs w:val="18"/>
          <w:lang w:val="en-US"/>
        </w:rPr>
        <w:lastRenderedPageBreak/>
        <w:t>One approach to assessing the value that individuals place on ecosystem services is through the concept of willingness to pay (WTP). WTP studies are commonly used in environmental economics to estimate the economic value of conservation initiatives and to gauge public support for environmental policies (Qi, 2024). In the context of KBNP, assessing the WTP among local communities can provide valuable insights into the feasibility of implementing payment for ecosystem services (PES) schemes or other market-based conservation approaches (</w:t>
      </w:r>
      <w:proofErr w:type="spellStart"/>
      <w:r w:rsidRPr="001A03A6">
        <w:rPr>
          <w:sz w:val="18"/>
          <w:szCs w:val="18"/>
          <w:lang w:val="en-US"/>
        </w:rPr>
        <w:t>Murhula</w:t>
      </w:r>
      <w:proofErr w:type="spellEnd"/>
      <w:r w:rsidRPr="001A03A6">
        <w:rPr>
          <w:sz w:val="18"/>
          <w:szCs w:val="18"/>
          <w:lang w:val="en-US"/>
        </w:rPr>
        <w:t>, 2024). Such approaches could potentially provide a sustainable funding mechanism for conservation activities while also offering direct benefits to the communities involved.</w:t>
      </w:r>
    </w:p>
    <w:p w:rsidR="001A03A6" w:rsidRPr="001A03A6" w:rsidRDefault="001A03A6" w:rsidP="001A03A6">
      <w:pPr>
        <w:pStyle w:val="NormalWeb"/>
        <w:jc w:val="both"/>
        <w:rPr>
          <w:sz w:val="18"/>
          <w:szCs w:val="18"/>
          <w:lang w:val="en-US"/>
        </w:rPr>
      </w:pPr>
      <w:r w:rsidRPr="001A03A6">
        <w:rPr>
          <w:sz w:val="18"/>
          <w:szCs w:val="18"/>
          <w:lang w:val="en-US"/>
        </w:rPr>
        <w:t>The commitment of local communities to forest conservation is influenced by a complex interplay of social, economic, and cultural factors. Research has shown that communities are more likely to engage in conservation activities when they perceive tangible benefits, such as improved livelihoods or enhanced ecosystem services (Miriam et al., 2022). Conversely, conservation efforts that are perceived as restrictive or that fail to address local needs can lead to resistance and conflict (</w:t>
      </w:r>
      <w:proofErr w:type="spellStart"/>
      <w:r w:rsidRPr="001A03A6">
        <w:rPr>
          <w:sz w:val="18"/>
          <w:szCs w:val="18"/>
          <w:lang w:val="en-US"/>
        </w:rPr>
        <w:t>Peng</w:t>
      </w:r>
      <w:proofErr w:type="spellEnd"/>
      <w:r w:rsidRPr="001A03A6">
        <w:rPr>
          <w:sz w:val="18"/>
          <w:szCs w:val="18"/>
          <w:lang w:val="en-US"/>
        </w:rPr>
        <w:t xml:space="preserve"> et al., 2024). Engaging local communities in conservation requires not only addressing their immediate needs but also fostering a sense of stewardship and ownership over conservation initiatives (</w:t>
      </w:r>
      <w:proofErr w:type="spellStart"/>
      <w:r w:rsidRPr="001A03A6">
        <w:rPr>
          <w:sz w:val="18"/>
          <w:szCs w:val="18"/>
          <w:lang w:val="en-US"/>
        </w:rPr>
        <w:t>Azlan</w:t>
      </w:r>
      <w:proofErr w:type="spellEnd"/>
      <w:r w:rsidRPr="001A03A6">
        <w:rPr>
          <w:sz w:val="18"/>
          <w:szCs w:val="18"/>
          <w:lang w:val="en-US"/>
        </w:rPr>
        <w:t>, 2024). This can be achieved through participatory approaches that involve communities in decision-making processes, provide them with clear benefits, and build their capacity for sustainable resource management (</w:t>
      </w:r>
      <w:proofErr w:type="spellStart"/>
      <w:r w:rsidRPr="001A03A6">
        <w:rPr>
          <w:sz w:val="18"/>
          <w:szCs w:val="18"/>
          <w:lang w:val="en-US"/>
        </w:rPr>
        <w:t>Peng</w:t>
      </w:r>
      <w:proofErr w:type="spellEnd"/>
      <w:r w:rsidRPr="001A03A6">
        <w:rPr>
          <w:sz w:val="18"/>
          <w:szCs w:val="18"/>
          <w:lang w:val="en-US"/>
        </w:rPr>
        <w:t xml:space="preserve"> et al., 2024).</w:t>
      </w:r>
    </w:p>
    <w:p w:rsidR="001A03A6" w:rsidRPr="001A03A6" w:rsidRDefault="001A03A6" w:rsidP="001A03A6">
      <w:pPr>
        <w:pStyle w:val="NormalWeb"/>
        <w:jc w:val="both"/>
        <w:rPr>
          <w:sz w:val="18"/>
          <w:szCs w:val="18"/>
          <w:lang w:val="en-US"/>
        </w:rPr>
      </w:pPr>
      <w:r w:rsidRPr="001A03A6">
        <w:rPr>
          <w:sz w:val="18"/>
          <w:szCs w:val="18"/>
          <w:lang w:val="en-US"/>
        </w:rPr>
        <w:t>In the case of KBNP, integrating local knowledge, providing alternative livelihoods, and strengthening local institutions have been identified as key factors for successful conservation outcomes (Miriam et al., 2022). By involving communities in conservation efforts and ensuring that they receive tangible benefits, it is possible to build a more sustainable and resilient approach to forest management. This study aims to explore the socio-ecological dynamics around KBNP by examining local perceptions of forest ecosystem services, their willingness to pay for conservation efforts, and their commitment to forest conservation. Through this exploration, the study seeks to contribute to the development of more effective and inclusive conservation strategies that align with the needs and aspirations of local communities.</w:t>
      </w:r>
    </w:p>
    <w:p w:rsidR="001A03A6" w:rsidRPr="001A03A6" w:rsidRDefault="001A03A6" w:rsidP="001A03A6">
      <w:pPr>
        <w:pStyle w:val="NormalWeb"/>
        <w:jc w:val="both"/>
        <w:rPr>
          <w:sz w:val="18"/>
          <w:szCs w:val="18"/>
          <w:lang w:val="en-US"/>
        </w:rPr>
      </w:pPr>
      <w:r w:rsidRPr="001A03A6">
        <w:rPr>
          <w:sz w:val="18"/>
          <w:szCs w:val="18"/>
          <w:lang w:val="en-US"/>
        </w:rPr>
        <w:t>Understanding the socio-ecological context in which conservation efforts take place is essential for ensuring that these efforts are not only successful in the short term but also sustainable in the long term. By addressing the socio-economic drivers of deforestation and forest degradation and by fostering a sense of ownership and stewardship among local communities, it is possible to create conservation strategies that benefit both biodiversity and human well-being.</w:t>
      </w:r>
    </w:p>
    <w:p w:rsidR="00314962" w:rsidRPr="00FB0B34" w:rsidRDefault="00314962" w:rsidP="00F145A9">
      <w:pPr>
        <w:spacing w:after="0" w:line="240" w:lineRule="auto"/>
        <w:jc w:val="both"/>
        <w:rPr>
          <w:rFonts w:eastAsia="Trebuchet MS" w:cs="Times New Roman"/>
          <w:b/>
          <w:sz w:val="18"/>
          <w:szCs w:val="18"/>
          <w:lang w:val="en-US"/>
        </w:rPr>
      </w:pPr>
    </w:p>
    <w:p w:rsidR="00E038D1" w:rsidRPr="00FB0B34" w:rsidRDefault="00E30465" w:rsidP="00F145A9">
      <w:pPr>
        <w:pStyle w:val="Paragraphedeliste"/>
        <w:numPr>
          <w:ilvl w:val="0"/>
          <w:numId w:val="5"/>
        </w:numPr>
        <w:spacing w:after="0" w:line="240" w:lineRule="auto"/>
        <w:jc w:val="both"/>
        <w:rPr>
          <w:rFonts w:eastAsia="Trebuchet MS" w:cs="Times New Roman"/>
          <w:b/>
          <w:sz w:val="18"/>
          <w:szCs w:val="18"/>
          <w:lang w:val="en-US"/>
        </w:rPr>
      </w:pPr>
      <w:r w:rsidRPr="00FB0B34">
        <w:rPr>
          <w:rFonts w:eastAsia="Trebuchet MS" w:cs="Times New Roman"/>
          <w:b/>
          <w:sz w:val="18"/>
          <w:szCs w:val="18"/>
          <w:lang w:val="en-US"/>
        </w:rPr>
        <w:t>S</w:t>
      </w:r>
      <w:r w:rsidR="004B2C9E" w:rsidRPr="00FB0B34">
        <w:rPr>
          <w:rFonts w:eastAsia="Trebuchet MS" w:cs="Times New Roman"/>
          <w:b/>
          <w:sz w:val="18"/>
          <w:szCs w:val="18"/>
          <w:lang w:val="en-US"/>
        </w:rPr>
        <w:t>tudy Area and Methodology</w:t>
      </w:r>
    </w:p>
    <w:p w:rsidR="00DB6517" w:rsidRPr="00FB0B34" w:rsidRDefault="00DB6517" w:rsidP="00F145A9">
      <w:pPr>
        <w:pStyle w:val="Paragraphedeliste"/>
        <w:spacing w:after="0" w:line="240" w:lineRule="auto"/>
        <w:jc w:val="both"/>
        <w:rPr>
          <w:rFonts w:eastAsia="Trebuchet MS" w:cs="Times New Roman"/>
          <w:b/>
          <w:sz w:val="18"/>
          <w:szCs w:val="18"/>
          <w:lang w:val="en-US"/>
        </w:rPr>
      </w:pPr>
    </w:p>
    <w:p w:rsidR="006341C3" w:rsidRPr="00FB0B34" w:rsidRDefault="00E30465" w:rsidP="00F145A9">
      <w:pPr>
        <w:spacing w:after="0" w:line="240" w:lineRule="auto"/>
        <w:jc w:val="both"/>
        <w:rPr>
          <w:rFonts w:eastAsia="Trebuchet MS" w:cs="Times New Roman"/>
          <w:i/>
          <w:sz w:val="18"/>
          <w:szCs w:val="18"/>
          <w:lang w:val="en-US"/>
        </w:rPr>
      </w:pPr>
      <w:r w:rsidRPr="00FB0B34">
        <w:rPr>
          <w:rFonts w:eastAsia="Trebuchet MS" w:cs="Times New Roman"/>
          <w:i/>
          <w:sz w:val="18"/>
          <w:szCs w:val="18"/>
          <w:lang w:val="en-US"/>
        </w:rPr>
        <w:t>2.1. Study area</w:t>
      </w:r>
    </w:p>
    <w:p w:rsidR="00835667" w:rsidRPr="00835667" w:rsidRDefault="006341C3" w:rsidP="00835667">
      <w:pPr>
        <w:spacing w:after="0" w:line="240" w:lineRule="auto"/>
        <w:jc w:val="both"/>
        <w:rPr>
          <w:rFonts w:eastAsia="Trebuchet MS" w:cs="Times New Roman"/>
          <w:sz w:val="18"/>
          <w:szCs w:val="18"/>
          <w:lang w:val="en-US"/>
        </w:rPr>
        <w:sectPr w:rsidR="00835667" w:rsidRPr="00835667" w:rsidSect="001A03A6">
          <w:type w:val="continuous"/>
          <w:pgSz w:w="11906" w:h="16838"/>
          <w:pgMar w:top="1417" w:right="1417" w:bottom="1417" w:left="1417" w:header="708" w:footer="680" w:gutter="0"/>
          <w:pgNumType w:fmt="numberInDash" w:start="1"/>
          <w:cols w:space="708"/>
          <w:titlePg/>
          <w:docGrid w:linePitch="360"/>
        </w:sectPr>
      </w:pPr>
      <w:r w:rsidRPr="00FB0B34">
        <w:rPr>
          <w:rFonts w:eastAsia="Trebuchet MS" w:cs="Times New Roman"/>
          <w:sz w:val="18"/>
          <w:szCs w:val="18"/>
          <w:lang w:val="en-US"/>
        </w:rPr>
        <w:t xml:space="preserve">This study was conducted in the mountainous eastern part of the DRC, in the South Kivu province, </w:t>
      </w:r>
      <w:proofErr w:type="spellStart"/>
      <w:r w:rsidRPr="00FB0B34">
        <w:rPr>
          <w:rFonts w:eastAsia="Trebuchet MS" w:cs="Times New Roman"/>
          <w:sz w:val="18"/>
          <w:szCs w:val="18"/>
          <w:lang w:val="en-US"/>
        </w:rPr>
        <w:t>Kalehe</w:t>
      </w:r>
      <w:proofErr w:type="spellEnd"/>
      <w:r w:rsidR="0095045C">
        <w:rPr>
          <w:rFonts w:eastAsia="Trebuchet MS" w:cs="Times New Roman"/>
          <w:sz w:val="18"/>
          <w:szCs w:val="18"/>
          <w:lang w:val="en-US"/>
        </w:rPr>
        <w:t xml:space="preserve"> territory, in</w:t>
      </w:r>
      <w:r w:rsidRPr="00FB0B34">
        <w:rPr>
          <w:rFonts w:eastAsia="Trebuchet MS" w:cs="Times New Roman"/>
          <w:sz w:val="18"/>
          <w:szCs w:val="18"/>
          <w:lang w:val="en-US"/>
        </w:rPr>
        <w:t xml:space="preserve"> the municipality of </w:t>
      </w:r>
      <w:proofErr w:type="spellStart"/>
      <w:r w:rsidRPr="00FB0B34">
        <w:rPr>
          <w:rFonts w:eastAsia="Trebuchet MS" w:cs="Times New Roman"/>
          <w:sz w:val="18"/>
          <w:szCs w:val="18"/>
          <w:lang w:val="en-US"/>
        </w:rPr>
        <w:t>Kalonge</w:t>
      </w:r>
      <w:proofErr w:type="spellEnd"/>
      <w:r w:rsidRPr="00FB0B34">
        <w:rPr>
          <w:rFonts w:eastAsia="Trebuchet MS" w:cs="Times New Roman"/>
          <w:sz w:val="18"/>
          <w:szCs w:val="18"/>
          <w:lang w:val="en-US"/>
        </w:rPr>
        <w:t xml:space="preserve">, around the </w:t>
      </w:r>
      <w:proofErr w:type="spellStart"/>
      <w:r w:rsidRPr="00FB0B34">
        <w:rPr>
          <w:rFonts w:eastAsia="Trebuchet MS" w:cs="Times New Roman"/>
          <w:sz w:val="18"/>
          <w:szCs w:val="18"/>
          <w:lang w:val="en-US"/>
        </w:rPr>
        <w:t>Kahuzi-Biega</w:t>
      </w:r>
      <w:proofErr w:type="spellEnd"/>
      <w:r w:rsidRPr="00FB0B34">
        <w:rPr>
          <w:rFonts w:eastAsia="Trebuchet MS" w:cs="Times New Roman"/>
          <w:sz w:val="18"/>
          <w:szCs w:val="18"/>
          <w:lang w:val="en-US"/>
        </w:rPr>
        <w:t xml:space="preserve"> National Park (PNKB).</w:t>
      </w:r>
    </w:p>
    <w:p w:rsidR="00835667" w:rsidRDefault="00835667" w:rsidP="00835667">
      <w:pPr>
        <w:pStyle w:val="Paragraphedeliste"/>
        <w:spacing w:after="0" w:line="240" w:lineRule="auto"/>
        <w:ind w:left="810"/>
        <w:jc w:val="both"/>
        <w:rPr>
          <w:rFonts w:eastAsia="Trebuchet MS" w:cs="Times New Roman"/>
          <w:i/>
          <w:sz w:val="18"/>
          <w:szCs w:val="18"/>
          <w:lang w:val="en-US"/>
        </w:rPr>
      </w:pPr>
    </w:p>
    <w:p w:rsidR="00835667" w:rsidRPr="001A03A6" w:rsidRDefault="001A03A6" w:rsidP="001A03A6">
      <w:pPr>
        <w:pStyle w:val="Paragraphedeliste"/>
        <w:spacing w:after="0" w:line="240" w:lineRule="auto"/>
        <w:ind w:left="810" w:right="1842"/>
        <w:jc w:val="center"/>
        <w:rPr>
          <w:rFonts w:eastAsia="Trebuchet MS" w:cs="Times New Roman"/>
          <w:b/>
          <w:sz w:val="18"/>
          <w:szCs w:val="18"/>
          <w:lang w:val="en-US"/>
        </w:rPr>
      </w:pPr>
      <w:r w:rsidRPr="001A03A6">
        <w:rPr>
          <w:rFonts w:eastAsia="Trebuchet MS" w:cs="Times New Roman"/>
          <w:b/>
          <w:sz w:val="18"/>
          <w:szCs w:val="18"/>
          <w:lang w:val="en-US"/>
        </w:rPr>
        <w:t>MAP OF THE STUDY AREAS</w:t>
      </w:r>
    </w:p>
    <w:p w:rsidR="00835667" w:rsidRDefault="00835667" w:rsidP="00835667">
      <w:pPr>
        <w:pStyle w:val="Paragraphedeliste"/>
        <w:spacing w:after="0" w:line="240" w:lineRule="auto"/>
        <w:ind w:left="810"/>
        <w:jc w:val="both"/>
        <w:rPr>
          <w:rFonts w:eastAsia="Trebuchet MS" w:cs="Times New Roman"/>
          <w:i/>
          <w:sz w:val="18"/>
          <w:szCs w:val="18"/>
          <w:lang w:val="en-US"/>
        </w:rPr>
      </w:pPr>
    </w:p>
    <w:p w:rsidR="00835667" w:rsidRDefault="00835667" w:rsidP="00835667">
      <w:pPr>
        <w:pStyle w:val="Paragraphedeliste"/>
        <w:spacing w:after="0" w:line="240" w:lineRule="auto"/>
        <w:ind w:left="810"/>
        <w:jc w:val="both"/>
        <w:rPr>
          <w:rFonts w:eastAsia="Trebuchet MS" w:cs="Times New Roman"/>
          <w:i/>
          <w:sz w:val="18"/>
          <w:szCs w:val="18"/>
          <w:lang w:val="en-US"/>
        </w:rPr>
      </w:pPr>
    </w:p>
    <w:p w:rsidR="00835667" w:rsidRDefault="00835667" w:rsidP="00835667">
      <w:pPr>
        <w:pStyle w:val="Paragraphedeliste"/>
        <w:spacing w:after="0" w:line="240" w:lineRule="auto"/>
        <w:ind w:left="810"/>
        <w:jc w:val="both"/>
        <w:rPr>
          <w:rFonts w:eastAsia="Trebuchet MS" w:cs="Times New Roman"/>
          <w:i/>
          <w:sz w:val="18"/>
          <w:szCs w:val="18"/>
          <w:lang w:val="en-US"/>
        </w:rPr>
      </w:pPr>
    </w:p>
    <w:p w:rsidR="00835667" w:rsidRDefault="00835667" w:rsidP="00835667">
      <w:pPr>
        <w:pStyle w:val="Paragraphedeliste"/>
        <w:spacing w:after="0" w:line="240" w:lineRule="auto"/>
        <w:ind w:left="810"/>
        <w:jc w:val="both"/>
        <w:rPr>
          <w:rFonts w:eastAsia="Trebuchet MS" w:cs="Times New Roman"/>
          <w:i/>
          <w:sz w:val="18"/>
          <w:szCs w:val="18"/>
          <w:lang w:val="en-US"/>
        </w:rPr>
      </w:pPr>
      <w:r>
        <w:rPr>
          <w:rFonts w:eastAsia="Trebuchet MS" w:cs="Times New Roman"/>
          <w:i/>
          <w:noProof/>
          <w:sz w:val="18"/>
          <w:szCs w:val="18"/>
          <w:lang w:eastAsia="fr-FR"/>
        </w:rPr>
        <mc:AlternateContent>
          <mc:Choice Requires="wps">
            <w:drawing>
              <wp:anchor distT="0" distB="0" distL="114300" distR="114300" simplePos="0" relativeHeight="251659264" behindDoc="0" locked="0" layoutInCell="1" allowOverlap="1" wp14:anchorId="3E3AF7DC" wp14:editId="77439872">
                <wp:simplePos x="0" y="0"/>
                <wp:positionH relativeFrom="column">
                  <wp:posOffset>805437</wp:posOffset>
                </wp:positionH>
                <wp:positionV relativeFrom="paragraph">
                  <wp:posOffset>-364336</wp:posOffset>
                </wp:positionV>
                <wp:extent cx="3846556" cy="2636109"/>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846556" cy="26361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667" w:rsidRDefault="001A03A6">
                            <w:r>
                              <w:rPr>
                                <w:noProof/>
                                <w:lang w:eastAsia="fr-FR"/>
                              </w:rPr>
                              <w:drawing>
                                <wp:inline distT="0" distB="0" distL="0" distR="0" wp14:anchorId="7C2E73EF" wp14:editId="50213977">
                                  <wp:extent cx="3590476" cy="244761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0476" cy="244761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3AF7DC" id="_x0000_t202" coordsize="21600,21600" o:spt="202" path="m,l,21600r21600,l21600,xe">
                <v:stroke joinstyle="miter"/>
                <v:path gradientshapeok="t" o:connecttype="rect"/>
              </v:shapetype>
              <v:shape id="Zone de texte 3" o:spid="_x0000_s1026" type="#_x0000_t202" style="position:absolute;left:0;text-align:left;margin-left:63.4pt;margin-top:-28.7pt;width:302.9pt;height:20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" filled="f" stroked="f" strokeweight=".5pt">
                <v:textbox>
                  <w:txbxContent>
                    <w:p w:rsidR="00835667" w:rsidRDefault="001A03A6">
                      <w:r>
                        <w:rPr>
                          <w:noProof/>
                          <w:lang w:eastAsia="fr-FR"/>
                        </w:rPr>
                        <w:drawing>
                          <wp:inline distT="0" distB="0" distL="0" distR="0" wp14:anchorId="7C2E73EF" wp14:editId="50213977">
                            <wp:extent cx="3590476" cy="244761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0476" cy="2447619"/>
                                    </a:xfrm>
                                    <a:prstGeom prst="rect">
                                      <a:avLst/>
                                    </a:prstGeom>
                                  </pic:spPr>
                                </pic:pic>
                              </a:graphicData>
                            </a:graphic>
                          </wp:inline>
                        </w:drawing>
                      </w:r>
                    </w:p>
                  </w:txbxContent>
                </v:textbox>
              </v:shape>
            </w:pict>
          </mc:Fallback>
        </mc:AlternateContent>
      </w:r>
    </w:p>
    <w:p w:rsidR="00835667" w:rsidRPr="00835667" w:rsidRDefault="00835667" w:rsidP="00835667">
      <w:pPr>
        <w:pStyle w:val="Paragraphedeliste"/>
        <w:spacing w:after="0" w:line="240" w:lineRule="auto"/>
        <w:ind w:left="810"/>
        <w:jc w:val="both"/>
        <w:rPr>
          <w:rFonts w:eastAsia="Trebuchet MS" w:cs="Times New Roman"/>
          <w:i/>
          <w:sz w:val="18"/>
          <w:szCs w:val="18"/>
          <w:lang w:val="en-US"/>
        </w:rPr>
      </w:pPr>
    </w:p>
    <w:p w:rsidR="00835667" w:rsidRDefault="00835667" w:rsidP="00F145A9">
      <w:pPr>
        <w:spacing w:after="0" w:line="240" w:lineRule="auto"/>
        <w:jc w:val="both"/>
        <w:rPr>
          <w:rFonts w:eastAsia="Trebuchet MS" w:cs="Times New Roman"/>
          <w:sz w:val="18"/>
          <w:szCs w:val="18"/>
          <w:lang w:val="en-US"/>
        </w:rPr>
      </w:pPr>
    </w:p>
    <w:p w:rsidR="00835667" w:rsidRDefault="00835667" w:rsidP="00F145A9">
      <w:pPr>
        <w:spacing w:after="0" w:line="240" w:lineRule="auto"/>
        <w:jc w:val="both"/>
        <w:rPr>
          <w:rFonts w:eastAsia="Trebuchet MS" w:cs="Times New Roman"/>
          <w:sz w:val="18"/>
          <w:szCs w:val="18"/>
          <w:lang w:val="en-US"/>
        </w:rPr>
      </w:pPr>
    </w:p>
    <w:p w:rsidR="00835667" w:rsidRDefault="00835667" w:rsidP="00F145A9">
      <w:pPr>
        <w:spacing w:after="0" w:line="240" w:lineRule="auto"/>
        <w:jc w:val="both"/>
        <w:rPr>
          <w:rFonts w:eastAsia="Trebuchet MS" w:cs="Times New Roman"/>
          <w:sz w:val="18"/>
          <w:szCs w:val="18"/>
          <w:lang w:val="en-US"/>
        </w:rPr>
      </w:pPr>
    </w:p>
    <w:p w:rsidR="00835667" w:rsidRDefault="00835667" w:rsidP="00F145A9">
      <w:pPr>
        <w:spacing w:after="0" w:line="240" w:lineRule="auto"/>
        <w:jc w:val="both"/>
        <w:rPr>
          <w:rFonts w:eastAsia="Trebuchet MS" w:cs="Times New Roman"/>
          <w:sz w:val="18"/>
          <w:szCs w:val="18"/>
          <w:lang w:val="en-US"/>
        </w:rPr>
      </w:pPr>
    </w:p>
    <w:p w:rsidR="00835667" w:rsidRDefault="00835667" w:rsidP="00F145A9">
      <w:pPr>
        <w:spacing w:after="0" w:line="240" w:lineRule="auto"/>
        <w:jc w:val="both"/>
        <w:rPr>
          <w:rFonts w:eastAsia="Trebuchet MS" w:cs="Times New Roman"/>
          <w:sz w:val="18"/>
          <w:szCs w:val="18"/>
          <w:lang w:val="en-US"/>
        </w:rPr>
      </w:pPr>
    </w:p>
    <w:p w:rsidR="00835667" w:rsidRDefault="00835667" w:rsidP="00F145A9">
      <w:pPr>
        <w:spacing w:after="0" w:line="240" w:lineRule="auto"/>
        <w:jc w:val="both"/>
        <w:rPr>
          <w:rFonts w:eastAsia="Trebuchet MS" w:cs="Times New Roman"/>
          <w:sz w:val="18"/>
          <w:szCs w:val="18"/>
          <w:lang w:val="en-US"/>
        </w:rPr>
      </w:pPr>
    </w:p>
    <w:p w:rsidR="00835667" w:rsidRDefault="00835667" w:rsidP="00F145A9">
      <w:pPr>
        <w:spacing w:after="0" w:line="240" w:lineRule="auto"/>
        <w:jc w:val="both"/>
        <w:rPr>
          <w:rFonts w:eastAsia="Trebuchet MS" w:cs="Times New Roman"/>
          <w:sz w:val="18"/>
          <w:szCs w:val="18"/>
          <w:lang w:val="en-US"/>
        </w:rPr>
      </w:pPr>
    </w:p>
    <w:p w:rsidR="00835667" w:rsidRDefault="00835667" w:rsidP="00F145A9">
      <w:pPr>
        <w:spacing w:after="0" w:line="240" w:lineRule="auto"/>
        <w:jc w:val="both"/>
        <w:rPr>
          <w:rFonts w:eastAsia="Trebuchet MS" w:cs="Times New Roman"/>
          <w:sz w:val="18"/>
          <w:szCs w:val="18"/>
          <w:lang w:val="en-US"/>
        </w:rPr>
      </w:pPr>
    </w:p>
    <w:p w:rsidR="00835667" w:rsidRDefault="00835667" w:rsidP="00F145A9">
      <w:pPr>
        <w:spacing w:after="0" w:line="240" w:lineRule="auto"/>
        <w:jc w:val="both"/>
        <w:rPr>
          <w:rFonts w:eastAsia="Trebuchet MS" w:cs="Times New Roman"/>
          <w:sz w:val="18"/>
          <w:szCs w:val="18"/>
          <w:lang w:val="en-US"/>
        </w:rPr>
      </w:pPr>
    </w:p>
    <w:p w:rsidR="00835667" w:rsidRDefault="00835667" w:rsidP="00F145A9">
      <w:pPr>
        <w:spacing w:after="0" w:line="240" w:lineRule="auto"/>
        <w:jc w:val="both"/>
        <w:rPr>
          <w:rFonts w:eastAsia="Trebuchet MS" w:cs="Times New Roman"/>
          <w:sz w:val="18"/>
          <w:szCs w:val="18"/>
          <w:lang w:val="en-US"/>
        </w:rPr>
      </w:pPr>
    </w:p>
    <w:p w:rsidR="00835667" w:rsidRDefault="00835667" w:rsidP="00F145A9">
      <w:pPr>
        <w:spacing w:after="0" w:line="240" w:lineRule="auto"/>
        <w:jc w:val="both"/>
        <w:rPr>
          <w:rFonts w:eastAsia="Trebuchet MS" w:cs="Times New Roman"/>
          <w:sz w:val="18"/>
          <w:szCs w:val="18"/>
          <w:lang w:val="en-US"/>
        </w:rPr>
      </w:pPr>
    </w:p>
    <w:p w:rsidR="00835667" w:rsidRDefault="00835667" w:rsidP="00F145A9">
      <w:pPr>
        <w:spacing w:after="0" w:line="240" w:lineRule="auto"/>
        <w:jc w:val="both"/>
        <w:rPr>
          <w:rFonts w:eastAsia="Trebuchet MS" w:cs="Times New Roman"/>
          <w:sz w:val="18"/>
          <w:szCs w:val="18"/>
          <w:lang w:val="en-US"/>
        </w:rPr>
      </w:pPr>
    </w:p>
    <w:p w:rsidR="00835667" w:rsidRDefault="00835667" w:rsidP="00F145A9">
      <w:pPr>
        <w:spacing w:after="0" w:line="240" w:lineRule="auto"/>
        <w:jc w:val="both"/>
        <w:rPr>
          <w:rFonts w:eastAsia="Trebuchet MS" w:cs="Times New Roman"/>
          <w:sz w:val="18"/>
          <w:szCs w:val="18"/>
          <w:lang w:val="en-US"/>
        </w:rPr>
      </w:pPr>
    </w:p>
    <w:p w:rsidR="00835667" w:rsidRDefault="00835667" w:rsidP="00F145A9">
      <w:pPr>
        <w:spacing w:after="0" w:line="240" w:lineRule="auto"/>
        <w:jc w:val="both"/>
        <w:rPr>
          <w:rFonts w:eastAsia="Trebuchet MS" w:cs="Times New Roman"/>
          <w:sz w:val="18"/>
          <w:szCs w:val="18"/>
          <w:lang w:val="en-US"/>
        </w:rPr>
      </w:pPr>
    </w:p>
    <w:p w:rsidR="00835667" w:rsidRDefault="00835667" w:rsidP="00F145A9">
      <w:pPr>
        <w:spacing w:after="0" w:line="240" w:lineRule="auto"/>
        <w:jc w:val="both"/>
        <w:rPr>
          <w:rFonts w:eastAsia="Trebuchet MS" w:cs="Times New Roman"/>
          <w:sz w:val="18"/>
          <w:szCs w:val="18"/>
          <w:lang w:val="en-US"/>
        </w:rPr>
      </w:pPr>
    </w:p>
    <w:p w:rsidR="00835667" w:rsidRDefault="00835667" w:rsidP="00F145A9">
      <w:pPr>
        <w:spacing w:after="0" w:line="240" w:lineRule="auto"/>
        <w:jc w:val="both"/>
        <w:rPr>
          <w:rFonts w:eastAsia="Trebuchet MS" w:cs="Times New Roman"/>
          <w:sz w:val="18"/>
          <w:szCs w:val="18"/>
          <w:lang w:val="en-US"/>
        </w:rPr>
      </w:pPr>
    </w:p>
    <w:p w:rsidR="0004363F" w:rsidRDefault="00835667" w:rsidP="00F145A9">
      <w:pPr>
        <w:spacing w:after="0" w:line="240" w:lineRule="auto"/>
        <w:jc w:val="both"/>
        <w:rPr>
          <w:rFonts w:eastAsia="Trebuchet MS" w:cs="Times New Roman"/>
          <w:sz w:val="18"/>
          <w:szCs w:val="18"/>
          <w:lang w:val="en-US"/>
        </w:rPr>
      </w:pPr>
      <w:r>
        <w:rPr>
          <w:rFonts w:eastAsia="Trebuchet MS" w:cs="Times New Roman"/>
          <w:sz w:val="18"/>
          <w:szCs w:val="18"/>
          <w:lang w:val="en-US"/>
        </w:rPr>
        <w:t xml:space="preserve">                            </w:t>
      </w:r>
      <w:r w:rsidR="006341C3" w:rsidRPr="00FB0B34">
        <w:rPr>
          <w:rFonts w:eastAsia="Trebuchet MS" w:cs="Times New Roman"/>
          <w:sz w:val="18"/>
          <w:szCs w:val="18"/>
          <w:lang w:val="en-US"/>
        </w:rPr>
        <w:t xml:space="preserve">Figure 1 </w:t>
      </w:r>
      <w:r w:rsidR="009A5CC9">
        <w:rPr>
          <w:rFonts w:eastAsia="Trebuchet MS" w:cs="Times New Roman"/>
          <w:sz w:val="18"/>
          <w:szCs w:val="18"/>
          <w:lang w:val="en-US"/>
        </w:rPr>
        <w:t>Map of the study area</w:t>
      </w:r>
      <w:r w:rsidR="004B6C64">
        <w:rPr>
          <w:rFonts w:eastAsia="Trebuchet MS" w:cs="Times New Roman"/>
          <w:sz w:val="18"/>
          <w:szCs w:val="18"/>
          <w:lang w:val="en-US"/>
        </w:rPr>
        <w:t xml:space="preserve"> (</w:t>
      </w:r>
      <w:proofErr w:type="spellStart"/>
      <w:r w:rsidR="004B6C64">
        <w:rPr>
          <w:rFonts w:eastAsia="Trebuchet MS" w:cs="Times New Roman"/>
          <w:sz w:val="18"/>
          <w:szCs w:val="18"/>
          <w:lang w:val="en-US"/>
        </w:rPr>
        <w:t>github</w:t>
      </w:r>
      <w:proofErr w:type="spellEnd"/>
      <w:r w:rsidR="004B6C64">
        <w:rPr>
          <w:rFonts w:eastAsia="Trebuchet MS" w:cs="Times New Roman"/>
          <w:sz w:val="18"/>
          <w:szCs w:val="18"/>
          <w:lang w:val="en-US"/>
        </w:rPr>
        <w:t xml:space="preserve"> repository: </w:t>
      </w:r>
      <w:hyperlink r:id="rId7" w:history="1">
        <w:proofErr w:type="spellStart"/>
        <w:r w:rsidR="004B6C64" w:rsidRPr="004B6C64">
          <w:rPr>
            <w:rStyle w:val="Lienhypertexte"/>
            <w:rFonts w:eastAsia="Trebuchet MS" w:cs="Times New Roman"/>
            <w:sz w:val="18"/>
            <w:szCs w:val="18"/>
            <w:lang w:val="en-US"/>
          </w:rPr>
          <w:t>Kaloge</w:t>
        </w:r>
        <w:proofErr w:type="spellEnd"/>
        <w:r w:rsidR="004B6C64" w:rsidRPr="004B6C64">
          <w:rPr>
            <w:rStyle w:val="Lienhypertexte"/>
            <w:rFonts w:eastAsia="Trebuchet MS" w:cs="Times New Roman"/>
            <w:sz w:val="18"/>
            <w:szCs w:val="18"/>
            <w:lang w:val="en-US"/>
          </w:rPr>
          <w:t>-map-with-python</w:t>
        </w:r>
      </w:hyperlink>
      <w:r w:rsidR="004B6C64">
        <w:rPr>
          <w:rFonts w:eastAsia="Trebuchet MS" w:cs="Times New Roman"/>
          <w:sz w:val="18"/>
          <w:szCs w:val="18"/>
          <w:lang w:val="en-US"/>
        </w:rPr>
        <w:t xml:space="preserve"> )</w:t>
      </w:r>
      <w:r w:rsidR="009A5CC9">
        <w:rPr>
          <w:rFonts w:eastAsia="Trebuchet MS" w:cs="Times New Roman"/>
          <w:sz w:val="18"/>
          <w:szCs w:val="18"/>
          <w:lang w:val="en-US"/>
        </w:rPr>
        <w:t>.</w:t>
      </w:r>
    </w:p>
    <w:p w:rsidR="00835667" w:rsidRPr="00FB0B34" w:rsidRDefault="00835667" w:rsidP="00F145A9">
      <w:pPr>
        <w:spacing w:after="0" w:line="240" w:lineRule="auto"/>
        <w:jc w:val="both"/>
        <w:rPr>
          <w:rFonts w:eastAsia="Trebuchet MS" w:cs="Times New Roman"/>
          <w:sz w:val="18"/>
          <w:szCs w:val="18"/>
          <w:lang w:val="en-US"/>
        </w:rPr>
      </w:pPr>
    </w:p>
    <w:p w:rsidR="000C314D" w:rsidRDefault="000C314D" w:rsidP="00F145A9">
      <w:pPr>
        <w:spacing w:line="240" w:lineRule="auto"/>
        <w:jc w:val="both"/>
        <w:rPr>
          <w:rFonts w:cs="Times New Roman"/>
          <w:sz w:val="18"/>
          <w:szCs w:val="18"/>
          <w:lang w:val="en-US"/>
        </w:rPr>
        <w:sectPr w:rsidR="000C314D" w:rsidSect="001A03A6">
          <w:type w:val="continuous"/>
          <w:pgSz w:w="11906" w:h="16838"/>
          <w:pgMar w:top="1417" w:right="1417" w:bottom="1417" w:left="1417" w:header="708" w:footer="680" w:gutter="0"/>
          <w:pgNumType w:fmt="numberInDash" w:start="1"/>
          <w:cols w:space="708"/>
          <w:titlePg/>
          <w:docGrid w:linePitch="360"/>
        </w:sectPr>
      </w:pPr>
      <w:bookmarkStart w:id="1" w:name="_Toc156989161"/>
      <w:bookmarkEnd w:id="0"/>
    </w:p>
    <w:p w:rsidR="00E038D1" w:rsidRPr="00FB0B34" w:rsidRDefault="00E038D1" w:rsidP="00F145A9">
      <w:pPr>
        <w:spacing w:line="240" w:lineRule="auto"/>
        <w:jc w:val="both"/>
        <w:rPr>
          <w:rFonts w:cs="Times New Roman"/>
          <w:sz w:val="18"/>
          <w:szCs w:val="18"/>
          <w:lang w:val="en-US"/>
        </w:rPr>
      </w:pPr>
      <w:r w:rsidRPr="00FB0B34">
        <w:rPr>
          <w:rFonts w:cs="Times New Roman"/>
          <w:sz w:val="18"/>
          <w:szCs w:val="18"/>
          <w:lang w:val="en-US"/>
        </w:rPr>
        <w:t>T</w:t>
      </w:r>
      <w:r w:rsidR="00FD74EA" w:rsidRPr="00FB0B34">
        <w:rPr>
          <w:rFonts w:cs="Times New Roman"/>
          <w:sz w:val="18"/>
          <w:szCs w:val="18"/>
          <w:lang w:val="en-US"/>
        </w:rPr>
        <w:t xml:space="preserve">he </w:t>
      </w:r>
      <w:proofErr w:type="spellStart"/>
      <w:r w:rsidR="00FD74EA" w:rsidRPr="00FB0B34">
        <w:rPr>
          <w:rFonts w:cs="Times New Roman"/>
          <w:sz w:val="18"/>
          <w:szCs w:val="18"/>
          <w:lang w:val="en-US"/>
        </w:rPr>
        <w:t>Kalonge</w:t>
      </w:r>
      <w:proofErr w:type="spellEnd"/>
      <w:r w:rsidR="00FD74EA" w:rsidRPr="00FB0B34">
        <w:rPr>
          <w:rFonts w:cs="Times New Roman"/>
          <w:sz w:val="18"/>
          <w:szCs w:val="18"/>
          <w:lang w:val="en-US"/>
        </w:rPr>
        <w:t xml:space="preserve"> grouping spans an area of 750 km², bordered to the north by the </w:t>
      </w:r>
      <w:proofErr w:type="spellStart"/>
      <w:r w:rsidR="00FD74EA" w:rsidRPr="00FB0B34">
        <w:rPr>
          <w:rFonts w:cs="Times New Roman"/>
          <w:sz w:val="18"/>
          <w:szCs w:val="18"/>
          <w:lang w:val="en-US"/>
        </w:rPr>
        <w:t>Buholo</w:t>
      </w:r>
      <w:proofErr w:type="spellEnd"/>
      <w:r w:rsidR="00FD74EA" w:rsidRPr="00FB0B34">
        <w:rPr>
          <w:rFonts w:cs="Times New Roman"/>
          <w:sz w:val="18"/>
          <w:szCs w:val="18"/>
          <w:lang w:val="en-US"/>
        </w:rPr>
        <w:t xml:space="preserve"> community and the municipality of </w:t>
      </w:r>
      <w:proofErr w:type="spellStart"/>
      <w:r w:rsidR="00FD74EA" w:rsidRPr="00FB0B34">
        <w:rPr>
          <w:rFonts w:cs="Times New Roman"/>
          <w:sz w:val="18"/>
          <w:szCs w:val="18"/>
          <w:lang w:val="en-US"/>
        </w:rPr>
        <w:t>Kalima</w:t>
      </w:r>
      <w:proofErr w:type="spellEnd"/>
      <w:r w:rsidR="00FD74EA" w:rsidRPr="00FB0B34">
        <w:rPr>
          <w:rFonts w:cs="Times New Roman"/>
          <w:sz w:val="18"/>
          <w:szCs w:val="18"/>
          <w:lang w:val="en-US"/>
        </w:rPr>
        <w:t xml:space="preserve">, to the south by the </w:t>
      </w:r>
      <w:proofErr w:type="spellStart"/>
      <w:r w:rsidR="00FD74EA" w:rsidRPr="00FB0B34">
        <w:rPr>
          <w:rFonts w:cs="Times New Roman"/>
          <w:sz w:val="18"/>
          <w:szCs w:val="18"/>
          <w:lang w:val="en-US"/>
        </w:rPr>
        <w:t>Kabare</w:t>
      </w:r>
      <w:proofErr w:type="spellEnd"/>
      <w:r w:rsidR="00FD74EA" w:rsidRPr="00FB0B34">
        <w:rPr>
          <w:rFonts w:cs="Times New Roman"/>
          <w:sz w:val="18"/>
          <w:szCs w:val="18"/>
          <w:lang w:val="en-US"/>
        </w:rPr>
        <w:t xml:space="preserve"> territory, to the west by the </w:t>
      </w:r>
      <w:proofErr w:type="spellStart"/>
      <w:r w:rsidR="00FD74EA" w:rsidRPr="00FB0B34">
        <w:rPr>
          <w:rFonts w:cs="Times New Roman"/>
          <w:sz w:val="18"/>
          <w:szCs w:val="18"/>
          <w:lang w:val="en-US"/>
        </w:rPr>
        <w:t>Kahumba</w:t>
      </w:r>
      <w:proofErr w:type="spellEnd"/>
      <w:r w:rsidR="00FD74EA" w:rsidRPr="00FB0B34">
        <w:rPr>
          <w:rFonts w:cs="Times New Roman"/>
          <w:sz w:val="18"/>
          <w:szCs w:val="18"/>
          <w:lang w:val="en-US"/>
        </w:rPr>
        <w:t xml:space="preserve"> and </w:t>
      </w:r>
      <w:proofErr w:type="spellStart"/>
      <w:r w:rsidR="00FD74EA" w:rsidRPr="00FB0B34">
        <w:rPr>
          <w:rFonts w:cs="Times New Roman"/>
          <w:sz w:val="18"/>
          <w:szCs w:val="18"/>
          <w:lang w:val="en-US"/>
        </w:rPr>
        <w:t>Biapoka</w:t>
      </w:r>
      <w:proofErr w:type="spellEnd"/>
      <w:r w:rsidR="00FD74EA" w:rsidRPr="00FB0B34">
        <w:rPr>
          <w:rFonts w:cs="Times New Roman"/>
          <w:sz w:val="18"/>
          <w:szCs w:val="18"/>
          <w:lang w:val="en-US"/>
        </w:rPr>
        <w:t xml:space="preserve"> rivers, as well as the </w:t>
      </w:r>
      <w:proofErr w:type="spellStart"/>
      <w:r w:rsidR="00FD74EA" w:rsidRPr="00FB0B34">
        <w:rPr>
          <w:rFonts w:cs="Times New Roman"/>
          <w:sz w:val="18"/>
          <w:szCs w:val="18"/>
          <w:lang w:val="en-US"/>
        </w:rPr>
        <w:t>Nyamusenge</w:t>
      </w:r>
      <w:proofErr w:type="spellEnd"/>
      <w:r w:rsidR="00FD74EA" w:rsidRPr="00FB0B34">
        <w:rPr>
          <w:rFonts w:cs="Times New Roman"/>
          <w:sz w:val="18"/>
          <w:szCs w:val="18"/>
          <w:lang w:val="en-US"/>
        </w:rPr>
        <w:t xml:space="preserve"> massif, separating it from the </w:t>
      </w:r>
      <w:proofErr w:type="spellStart"/>
      <w:r w:rsidR="00FD74EA" w:rsidRPr="00FB0B34">
        <w:rPr>
          <w:rFonts w:cs="Times New Roman"/>
          <w:sz w:val="18"/>
          <w:szCs w:val="18"/>
          <w:lang w:val="en-US"/>
        </w:rPr>
        <w:t>Shabunda</w:t>
      </w:r>
      <w:proofErr w:type="spellEnd"/>
      <w:r w:rsidR="00FD74EA" w:rsidRPr="00FB0B34">
        <w:rPr>
          <w:rFonts w:cs="Times New Roman"/>
          <w:sz w:val="18"/>
          <w:szCs w:val="18"/>
          <w:lang w:val="en-US"/>
        </w:rPr>
        <w:t xml:space="preserve"> area, and to the east by the </w:t>
      </w:r>
      <w:proofErr w:type="spellStart"/>
      <w:r w:rsidR="00FD74EA" w:rsidRPr="00FB0B34">
        <w:rPr>
          <w:rFonts w:cs="Times New Roman"/>
          <w:sz w:val="18"/>
          <w:szCs w:val="18"/>
          <w:lang w:val="en-US"/>
        </w:rPr>
        <w:t>Kahuzi-Biega</w:t>
      </w:r>
      <w:proofErr w:type="spellEnd"/>
      <w:r w:rsidR="00FD74EA" w:rsidRPr="00FB0B34">
        <w:rPr>
          <w:rFonts w:cs="Times New Roman"/>
          <w:sz w:val="18"/>
          <w:szCs w:val="18"/>
          <w:lang w:val="en-US"/>
        </w:rPr>
        <w:t xml:space="preserve"> National Park (PNKB)</w:t>
      </w:r>
      <w:r w:rsidRPr="00FB0B34">
        <w:rPr>
          <w:rFonts w:cs="Times New Roman"/>
          <w:sz w:val="18"/>
          <w:szCs w:val="18"/>
          <w:lang w:val="en-US"/>
        </w:rPr>
        <w:t xml:space="preserve"> (</w:t>
      </w:r>
      <w:proofErr w:type="spellStart"/>
      <w:r w:rsidRPr="00FB0B34">
        <w:rPr>
          <w:rFonts w:cs="Times New Roman"/>
          <w:sz w:val="18"/>
          <w:szCs w:val="18"/>
          <w:lang w:val="en-US"/>
        </w:rPr>
        <w:t>Murhula</w:t>
      </w:r>
      <w:proofErr w:type="spellEnd"/>
      <w:r w:rsidRPr="00FB0B34">
        <w:rPr>
          <w:rFonts w:cs="Times New Roman"/>
          <w:sz w:val="18"/>
          <w:szCs w:val="18"/>
          <w:lang w:val="en-US"/>
        </w:rPr>
        <w:t>, 2024)</w:t>
      </w:r>
      <w:r w:rsidR="00FD74EA" w:rsidRPr="00FB0B34">
        <w:rPr>
          <w:rFonts w:cs="Times New Roman"/>
          <w:sz w:val="18"/>
          <w:szCs w:val="18"/>
          <w:lang w:val="en-US"/>
        </w:rPr>
        <w:t xml:space="preserve">. This territory is influenced by a mountainous climate, situated along the </w:t>
      </w:r>
      <w:proofErr w:type="spellStart"/>
      <w:r w:rsidR="00FD74EA" w:rsidRPr="00FB0B34">
        <w:rPr>
          <w:rFonts w:cs="Times New Roman"/>
          <w:sz w:val="18"/>
          <w:szCs w:val="18"/>
          <w:lang w:val="en-US"/>
        </w:rPr>
        <w:t>Tumba</w:t>
      </w:r>
      <w:proofErr w:type="spellEnd"/>
      <w:r w:rsidR="00FD74EA" w:rsidRPr="00FB0B34">
        <w:rPr>
          <w:rFonts w:cs="Times New Roman"/>
          <w:sz w:val="18"/>
          <w:szCs w:val="18"/>
          <w:lang w:val="en-US"/>
        </w:rPr>
        <w:t xml:space="preserve"> mountain range. Annual precipitation ranges between 1300 and 1680 mm, with an average annual temperature of 17.5ºC. Absolute maximum temperatures vary from 25.5ºC to 28ºC. Seasons are mainly divided into a rainy period, spanning approximately 9 months from September to May, and a dry season, lasting about 3 months from June to August (</w:t>
      </w:r>
      <w:proofErr w:type="spellStart"/>
      <w:r w:rsidR="00FD74EA" w:rsidRPr="00FB0B34">
        <w:rPr>
          <w:rFonts w:cs="Times New Roman"/>
          <w:sz w:val="18"/>
          <w:szCs w:val="18"/>
          <w:lang w:val="en-US"/>
        </w:rPr>
        <w:t>Mugisho</w:t>
      </w:r>
      <w:proofErr w:type="spellEnd"/>
      <w:r w:rsidR="00FD74EA" w:rsidRPr="00FB0B34">
        <w:rPr>
          <w:rFonts w:cs="Times New Roman"/>
          <w:sz w:val="18"/>
          <w:szCs w:val="18"/>
          <w:lang w:val="en-US"/>
        </w:rPr>
        <w:t xml:space="preserve"> et al., 2022).</w:t>
      </w:r>
    </w:p>
    <w:p w:rsidR="00FD74EA" w:rsidRPr="00FB0B34" w:rsidRDefault="00FD74EA" w:rsidP="00F145A9">
      <w:pPr>
        <w:pStyle w:val="Titre1"/>
        <w:spacing w:before="0" w:after="0"/>
        <w:jc w:val="both"/>
        <w:rPr>
          <w:rFonts w:cs="Times New Roman"/>
          <w:b/>
          <w:color w:val="auto"/>
          <w:sz w:val="18"/>
          <w:szCs w:val="18"/>
          <w:lang w:val="en-US"/>
        </w:rPr>
      </w:pPr>
      <w:r w:rsidRPr="00FB0B34">
        <w:rPr>
          <w:rFonts w:cs="Times New Roman"/>
          <w:b/>
          <w:color w:val="auto"/>
          <w:sz w:val="18"/>
          <w:szCs w:val="18"/>
          <w:lang w:val="en-US"/>
        </w:rPr>
        <w:t>2.2. M</w:t>
      </w:r>
      <w:r w:rsidR="00E30465" w:rsidRPr="00FB0B34">
        <w:rPr>
          <w:rFonts w:cs="Times New Roman"/>
          <w:b/>
          <w:color w:val="auto"/>
          <w:sz w:val="18"/>
          <w:szCs w:val="18"/>
          <w:lang w:val="en-US"/>
        </w:rPr>
        <w:t>ethodology of the study</w:t>
      </w:r>
    </w:p>
    <w:p w:rsidR="00FD74EA" w:rsidRPr="00FB0B34" w:rsidRDefault="00E30465" w:rsidP="00F145A9">
      <w:pPr>
        <w:pStyle w:val="Titre1"/>
        <w:spacing w:before="0" w:after="0"/>
        <w:jc w:val="both"/>
        <w:rPr>
          <w:rFonts w:cs="Times New Roman"/>
          <w:i/>
          <w:color w:val="auto"/>
          <w:sz w:val="18"/>
          <w:szCs w:val="18"/>
          <w:lang w:val="en-US"/>
        </w:rPr>
      </w:pPr>
      <w:r w:rsidRPr="00FB0B34">
        <w:rPr>
          <w:rFonts w:cs="Times New Roman"/>
          <w:i/>
          <w:color w:val="auto"/>
          <w:sz w:val="18"/>
          <w:szCs w:val="18"/>
          <w:lang w:val="en-US"/>
        </w:rPr>
        <w:t>2.2.1</w:t>
      </w:r>
      <w:r w:rsidR="00FD74EA" w:rsidRPr="00FB0B34">
        <w:rPr>
          <w:rFonts w:cs="Times New Roman"/>
          <w:i/>
          <w:color w:val="auto"/>
          <w:sz w:val="18"/>
          <w:szCs w:val="18"/>
          <w:lang w:val="en-US"/>
        </w:rPr>
        <w:t xml:space="preserve">. Local Perceptions </w:t>
      </w:r>
      <w:r w:rsidR="00662BF8" w:rsidRPr="00FB0B34">
        <w:rPr>
          <w:rFonts w:cs="Times New Roman"/>
          <w:i/>
          <w:color w:val="auto"/>
          <w:sz w:val="18"/>
          <w:szCs w:val="18"/>
          <w:lang w:val="en-US"/>
        </w:rPr>
        <w:t>of forest ecosystem services and engagement in conservation</w:t>
      </w:r>
    </w:p>
    <w:p w:rsidR="00F145A9" w:rsidRPr="000C314D" w:rsidRDefault="00B14A69" w:rsidP="000C314D">
      <w:pPr>
        <w:pStyle w:val="Titre1"/>
        <w:spacing w:before="0" w:after="0"/>
        <w:jc w:val="both"/>
        <w:rPr>
          <w:rFonts w:cs="Times New Roman"/>
          <w:color w:val="auto"/>
          <w:sz w:val="18"/>
          <w:szCs w:val="18"/>
          <w:lang w:val="en-US"/>
        </w:rPr>
      </w:pPr>
      <w:r w:rsidRPr="00FB0B34">
        <w:rPr>
          <w:rFonts w:cs="Times New Roman"/>
          <w:color w:val="auto"/>
          <w:sz w:val="18"/>
          <w:szCs w:val="18"/>
          <w:lang w:val="en-US"/>
        </w:rPr>
        <w:t>Thi</w:t>
      </w:r>
      <w:r w:rsidR="00FD74EA" w:rsidRPr="00FB0B34">
        <w:rPr>
          <w:rFonts w:cs="Times New Roman"/>
          <w:color w:val="auto"/>
          <w:sz w:val="18"/>
          <w:szCs w:val="18"/>
          <w:lang w:val="en-US"/>
        </w:rPr>
        <w:t>s section focuses on local perceptions of ecosystem services provided by forests and evaluates the level of community engagement in conservation. This information was gathe</w:t>
      </w:r>
      <w:r w:rsidR="006D08F6">
        <w:rPr>
          <w:rFonts w:cs="Times New Roman"/>
          <w:color w:val="auto"/>
          <w:sz w:val="18"/>
          <w:szCs w:val="18"/>
          <w:lang w:val="en-US"/>
        </w:rPr>
        <w:t xml:space="preserve">red through a survey in </w:t>
      </w:r>
      <w:proofErr w:type="spellStart"/>
      <w:r w:rsidR="006D08F6">
        <w:rPr>
          <w:rFonts w:cs="Times New Roman"/>
          <w:color w:val="auto"/>
          <w:sz w:val="18"/>
          <w:szCs w:val="18"/>
          <w:lang w:val="en-US"/>
        </w:rPr>
        <w:t>Kalonge</w:t>
      </w:r>
      <w:proofErr w:type="spellEnd"/>
      <w:r w:rsidR="006D08F6">
        <w:rPr>
          <w:rFonts w:cs="Times New Roman"/>
          <w:color w:val="auto"/>
          <w:sz w:val="18"/>
          <w:szCs w:val="18"/>
          <w:lang w:val="en-US"/>
        </w:rPr>
        <w:t xml:space="preserve">. Then, </w:t>
      </w:r>
      <w:r w:rsidR="00FD74EA" w:rsidRPr="00FB0B34">
        <w:rPr>
          <w:rFonts w:cs="Times New Roman"/>
          <w:color w:val="auto"/>
          <w:sz w:val="18"/>
          <w:szCs w:val="18"/>
          <w:lang w:val="en-US"/>
        </w:rPr>
        <w:t xml:space="preserve">This phase involved surveying local opinions on ecosystem services and forest ecosystem conservation in Kalonge. Through a two-day questionnaire, data were collected to achieve the </w:t>
      </w:r>
      <w:r w:rsidR="006D08F6">
        <w:rPr>
          <w:rFonts w:cs="Times New Roman"/>
          <w:color w:val="auto"/>
          <w:sz w:val="18"/>
          <w:szCs w:val="18"/>
          <w:lang w:val="en-US"/>
        </w:rPr>
        <w:t>aforementioned objective of the study.</w:t>
      </w:r>
    </w:p>
    <w:p w:rsidR="00FD74EA" w:rsidRPr="00FB0B34" w:rsidRDefault="006D08F6" w:rsidP="00F145A9">
      <w:pPr>
        <w:pStyle w:val="Titre1"/>
        <w:spacing w:before="0"/>
        <w:jc w:val="both"/>
        <w:rPr>
          <w:rFonts w:cs="Times New Roman"/>
          <w:i/>
          <w:color w:val="auto"/>
          <w:sz w:val="18"/>
          <w:szCs w:val="18"/>
          <w:lang w:val="en-US"/>
        </w:rPr>
      </w:pPr>
      <w:r>
        <w:rPr>
          <w:rFonts w:cs="Times New Roman"/>
          <w:i/>
          <w:color w:val="auto"/>
          <w:sz w:val="18"/>
          <w:szCs w:val="18"/>
          <w:lang w:val="en-US"/>
        </w:rPr>
        <w:t>2.2.2</w:t>
      </w:r>
      <w:r w:rsidR="00E30465" w:rsidRPr="00FB0B34">
        <w:rPr>
          <w:rFonts w:cs="Times New Roman"/>
          <w:i/>
          <w:color w:val="auto"/>
          <w:sz w:val="18"/>
          <w:szCs w:val="18"/>
          <w:lang w:val="en-US"/>
        </w:rPr>
        <w:t xml:space="preserve">. </w:t>
      </w:r>
      <w:r w:rsidR="00FD74EA" w:rsidRPr="00FB0B34">
        <w:rPr>
          <w:rFonts w:cs="Times New Roman"/>
          <w:i/>
          <w:color w:val="auto"/>
          <w:sz w:val="18"/>
          <w:szCs w:val="18"/>
          <w:lang w:val="en-US"/>
        </w:rPr>
        <w:t>Determin</w:t>
      </w:r>
      <w:r w:rsidR="00662BF8" w:rsidRPr="00FB0B34">
        <w:rPr>
          <w:rFonts w:cs="Times New Roman"/>
          <w:i/>
          <w:color w:val="auto"/>
          <w:sz w:val="18"/>
          <w:szCs w:val="18"/>
          <w:lang w:val="en-US"/>
        </w:rPr>
        <w:t>ation of sample size</w:t>
      </w:r>
    </w:p>
    <w:p w:rsidR="00FD74EA" w:rsidRPr="00FB0B34" w:rsidRDefault="00FD74EA" w:rsidP="00F145A9">
      <w:pPr>
        <w:pStyle w:val="Titre1"/>
        <w:spacing w:before="0"/>
        <w:jc w:val="both"/>
        <w:rPr>
          <w:rFonts w:cs="Times New Roman"/>
          <w:color w:val="auto"/>
          <w:sz w:val="18"/>
          <w:szCs w:val="18"/>
          <w:lang w:val="en-US"/>
        </w:rPr>
      </w:pPr>
      <w:r w:rsidRPr="00FB0B34">
        <w:rPr>
          <w:rFonts w:cs="Times New Roman"/>
          <w:color w:val="auto"/>
          <w:sz w:val="18"/>
          <w:szCs w:val="18"/>
          <w:lang w:val="en-US"/>
        </w:rPr>
        <w:t>A sample of 123 individuals was targeted for the survey in the Kalonge grouping. The formula used to determine the sample size (n), based on the population size of Kalonge (N) estimated at 189,900 individuals (SANRU, 2019), with a precision (e) of 0.9 (</w:t>
      </w:r>
      <w:proofErr w:type="spellStart"/>
      <w:r w:rsidRPr="00FB0B34">
        <w:rPr>
          <w:rFonts w:cs="Times New Roman"/>
          <w:color w:val="auto"/>
          <w:sz w:val="18"/>
          <w:szCs w:val="18"/>
          <w:lang w:val="en-US"/>
        </w:rPr>
        <w:t>Lunjwire</w:t>
      </w:r>
      <w:proofErr w:type="spellEnd"/>
      <w:r w:rsidRPr="00FB0B34">
        <w:rPr>
          <w:rFonts w:cs="Times New Roman"/>
          <w:color w:val="auto"/>
          <w:sz w:val="18"/>
          <w:szCs w:val="18"/>
          <w:lang w:val="en-US"/>
        </w:rPr>
        <w:t>, 2022), was applied:</w:t>
      </w:r>
    </w:p>
    <w:p w:rsidR="008B2D2B" w:rsidRPr="000B2479" w:rsidRDefault="008753E6" w:rsidP="00F145A9">
      <w:pPr>
        <w:spacing w:line="240" w:lineRule="auto"/>
        <w:jc w:val="center"/>
        <w:rPr>
          <w:rFonts w:cs="Times New Roman"/>
          <w:b/>
          <w:sz w:val="18"/>
          <w:szCs w:val="18"/>
          <w:lang w:val="en-US"/>
        </w:rPr>
      </w:pPr>
      <w:r w:rsidRPr="00FB0B34">
        <w:rPr>
          <w:rFonts w:cs="Times New Roman"/>
          <w:b/>
          <w:sz w:val="18"/>
          <w:szCs w:val="18"/>
          <w:lang w:val="en-US"/>
        </w:rPr>
        <w:t xml:space="preserve">n = </w:t>
      </w:r>
      <m:oMath>
        <m:f>
          <m:fPr>
            <m:ctrlPr>
              <w:rPr>
                <w:rFonts w:ascii="Cambria Math" w:hAnsi="Cambria Math" w:cs="Times New Roman"/>
                <w:b/>
                <w:sz w:val="18"/>
                <w:szCs w:val="18"/>
              </w:rPr>
            </m:ctrlPr>
          </m:fPr>
          <m:num>
            <m:r>
              <m:rPr>
                <m:sty m:val="b"/>
              </m:rPr>
              <w:rPr>
                <w:rFonts w:ascii="Cambria Math" w:hAnsi="Cambria Math" w:cs="Times New Roman"/>
                <w:sz w:val="18"/>
                <w:szCs w:val="18"/>
              </w:rPr>
              <m:t>N</m:t>
            </m:r>
          </m:num>
          <m:den>
            <m:r>
              <m:rPr>
                <m:sty m:val="b"/>
              </m:rPr>
              <w:rPr>
                <w:rFonts w:ascii="Cambria Math" w:hAnsi="Cambria Math" w:cs="Times New Roman"/>
                <w:sz w:val="18"/>
                <w:szCs w:val="18"/>
              </w:rPr>
              <m:t>1</m:t>
            </m:r>
            <m:r>
              <m:rPr>
                <m:sty m:val="b"/>
              </m:rPr>
              <w:rPr>
                <w:rFonts w:ascii="Cambria Math" w:hAnsi="Cambria Math" w:cs="Times New Roman"/>
                <w:sz w:val="18"/>
                <w:szCs w:val="18"/>
                <w:lang w:val="en-US"/>
              </w:rPr>
              <m:t>+</m:t>
            </m:r>
            <m:r>
              <m:rPr>
                <m:sty m:val="b"/>
              </m:rPr>
              <w:rPr>
                <w:rFonts w:ascii="Cambria Math" w:hAnsi="Cambria Math" w:cs="Times New Roman"/>
                <w:sz w:val="18"/>
                <w:szCs w:val="18"/>
              </w:rPr>
              <m:t>N</m:t>
            </m:r>
            <m:r>
              <m:rPr>
                <m:sty m:val="b"/>
              </m:rPr>
              <w:rPr>
                <w:rFonts w:ascii="Cambria Math" w:hAnsi="Cambria Math" w:cs="Times New Roman"/>
                <w:sz w:val="18"/>
                <w:szCs w:val="18"/>
                <w:lang w:val="en-US"/>
              </w:rPr>
              <m:t>(</m:t>
            </m:r>
            <m:r>
              <m:rPr>
                <m:sty m:val="b"/>
              </m:rPr>
              <w:rPr>
                <w:rFonts w:ascii="Cambria Math" w:hAnsi="Cambria Math" w:cs="Times New Roman"/>
                <w:sz w:val="18"/>
                <w:szCs w:val="18"/>
              </w:rPr>
              <m:t>e</m:t>
            </m:r>
            <m:r>
              <m:rPr>
                <m:sty m:val="b"/>
              </m:rPr>
              <w:rPr>
                <w:rFonts w:ascii="Cambria Math" w:hAnsi="Cambria Math" w:cs="Times New Roman"/>
                <w:sz w:val="18"/>
                <w:szCs w:val="18"/>
                <w:lang w:val="en-US"/>
              </w:rPr>
              <m:t>)²</m:t>
            </m:r>
          </m:den>
        </m:f>
      </m:oMath>
    </w:p>
    <w:p w:rsidR="00C05A02" w:rsidRDefault="00FD74EA" w:rsidP="00F145A9">
      <w:pPr>
        <w:spacing w:line="240" w:lineRule="auto"/>
        <w:jc w:val="both"/>
        <w:rPr>
          <w:rFonts w:cs="Times New Roman"/>
          <w:sz w:val="18"/>
          <w:szCs w:val="18"/>
          <w:lang w:val="en-US"/>
        </w:rPr>
      </w:pPr>
      <w:r w:rsidRPr="00FB0B34">
        <w:rPr>
          <w:rFonts w:cs="Times New Roman"/>
          <w:sz w:val="18"/>
          <w:szCs w:val="18"/>
          <w:lang w:val="en-US"/>
        </w:rPr>
        <w:t xml:space="preserve">However, only 103 individuals could be reached, representing 16.26% of the initial sample of 123 individuals. This reduction could be explained by the absence of some individuals during the survey or a shortage of participants engaged in the targeted activities for this study. Selection criteria for respondents included aspects such as residence in the study area and availability during the survey period, age (20 and above), </w:t>
      </w:r>
      <w:r w:rsidR="00E038D1" w:rsidRPr="00FB0B34">
        <w:rPr>
          <w:rFonts w:cs="Times New Roman"/>
          <w:sz w:val="18"/>
          <w:szCs w:val="18"/>
          <w:lang w:val="en-US"/>
        </w:rPr>
        <w:t xml:space="preserve">and </w:t>
      </w:r>
      <w:r w:rsidRPr="00FB0B34">
        <w:rPr>
          <w:rFonts w:cs="Times New Roman"/>
          <w:sz w:val="18"/>
          <w:szCs w:val="18"/>
          <w:lang w:val="en-US"/>
        </w:rPr>
        <w:t xml:space="preserve">specific </w:t>
      </w:r>
      <w:r w:rsidR="00E038D1" w:rsidRPr="00FB0B34">
        <w:rPr>
          <w:rFonts w:cs="Times New Roman"/>
          <w:sz w:val="18"/>
          <w:szCs w:val="18"/>
          <w:lang w:val="en-US"/>
        </w:rPr>
        <w:t>occupations</w:t>
      </w:r>
      <w:r w:rsidRPr="00FB0B34">
        <w:rPr>
          <w:rFonts w:cs="Times New Roman"/>
          <w:sz w:val="18"/>
          <w:szCs w:val="18"/>
          <w:lang w:val="en-US"/>
        </w:rPr>
        <w:t xml:space="preserve"> related to the study (agriculture, forestry exploitation, and local forest management).</w:t>
      </w:r>
    </w:p>
    <w:p w:rsidR="00C05A02" w:rsidRPr="00FB0B34" w:rsidRDefault="00FD74EA" w:rsidP="00F145A9">
      <w:pPr>
        <w:spacing w:line="240" w:lineRule="auto"/>
        <w:jc w:val="both"/>
        <w:rPr>
          <w:rFonts w:cs="Times New Roman"/>
          <w:i/>
          <w:sz w:val="18"/>
          <w:szCs w:val="18"/>
          <w:lang w:val="en-US"/>
        </w:rPr>
      </w:pPr>
      <w:r w:rsidRPr="00FB0B34">
        <w:rPr>
          <w:rFonts w:cs="Times New Roman"/>
          <w:i/>
          <w:sz w:val="18"/>
          <w:szCs w:val="18"/>
          <w:lang w:val="en-US"/>
        </w:rPr>
        <w:t>2</w:t>
      </w:r>
      <w:r w:rsidR="00843C67">
        <w:rPr>
          <w:rFonts w:cs="Times New Roman"/>
          <w:i/>
          <w:sz w:val="18"/>
          <w:szCs w:val="18"/>
          <w:lang w:val="en-US"/>
        </w:rPr>
        <w:t>.2.3</w:t>
      </w:r>
      <w:r w:rsidR="00E30465" w:rsidRPr="00FB0B34">
        <w:rPr>
          <w:rFonts w:cs="Times New Roman"/>
          <w:i/>
          <w:sz w:val="18"/>
          <w:szCs w:val="18"/>
          <w:lang w:val="en-US"/>
        </w:rPr>
        <w:t xml:space="preserve">. </w:t>
      </w:r>
      <w:r w:rsidRPr="00FB0B34">
        <w:rPr>
          <w:rFonts w:cs="Times New Roman"/>
          <w:i/>
          <w:sz w:val="18"/>
          <w:szCs w:val="18"/>
          <w:lang w:val="en-US"/>
        </w:rPr>
        <w:t>Surve</w:t>
      </w:r>
      <w:r w:rsidR="00662BF8" w:rsidRPr="00FB0B34">
        <w:rPr>
          <w:rFonts w:cs="Times New Roman"/>
          <w:i/>
          <w:sz w:val="18"/>
          <w:szCs w:val="18"/>
          <w:lang w:val="en-US"/>
        </w:rPr>
        <w:t>y implementation</w:t>
      </w:r>
    </w:p>
    <w:p w:rsidR="00C05A02" w:rsidRPr="00FB0B34" w:rsidRDefault="00FD74EA" w:rsidP="00F145A9">
      <w:pPr>
        <w:spacing w:line="240" w:lineRule="auto"/>
        <w:jc w:val="both"/>
        <w:rPr>
          <w:rFonts w:cs="Times New Roman"/>
          <w:sz w:val="18"/>
          <w:szCs w:val="18"/>
          <w:lang w:val="en-US"/>
        </w:rPr>
      </w:pPr>
      <w:proofErr w:type="spellStart"/>
      <w:r w:rsidRPr="00FB0B34">
        <w:rPr>
          <w:rFonts w:cs="Times New Roman"/>
          <w:sz w:val="18"/>
          <w:szCs w:val="18"/>
          <w:lang w:val="en-US"/>
        </w:rPr>
        <w:t>Fendula</w:t>
      </w:r>
      <w:proofErr w:type="spellEnd"/>
      <w:r w:rsidRPr="00FB0B34">
        <w:rPr>
          <w:rFonts w:cs="Times New Roman"/>
          <w:sz w:val="18"/>
          <w:szCs w:val="18"/>
          <w:lang w:val="en-US"/>
        </w:rPr>
        <w:t xml:space="preserve">, </w:t>
      </w:r>
      <w:proofErr w:type="spellStart"/>
      <w:r w:rsidRPr="00FB0B34">
        <w:rPr>
          <w:rFonts w:cs="Times New Roman"/>
          <w:sz w:val="18"/>
          <w:szCs w:val="18"/>
          <w:lang w:val="en-US"/>
        </w:rPr>
        <w:t>Cifunzi</w:t>
      </w:r>
      <w:proofErr w:type="spellEnd"/>
      <w:r w:rsidRPr="00FB0B34">
        <w:rPr>
          <w:rFonts w:cs="Times New Roman"/>
          <w:sz w:val="18"/>
          <w:szCs w:val="18"/>
          <w:lang w:val="en-US"/>
        </w:rPr>
        <w:t>, Ram</w:t>
      </w:r>
      <w:r w:rsidR="006D08F6">
        <w:rPr>
          <w:rFonts w:cs="Times New Roman"/>
          <w:sz w:val="18"/>
          <w:szCs w:val="18"/>
          <w:lang w:val="en-US"/>
        </w:rPr>
        <w:t xml:space="preserve">bo, Mule, </w:t>
      </w:r>
      <w:proofErr w:type="spellStart"/>
      <w:r w:rsidR="006D08F6">
        <w:rPr>
          <w:rFonts w:cs="Times New Roman"/>
          <w:sz w:val="18"/>
          <w:szCs w:val="18"/>
          <w:lang w:val="en-US"/>
        </w:rPr>
        <w:t>Caminunu</w:t>
      </w:r>
      <w:proofErr w:type="spellEnd"/>
      <w:r w:rsidR="006D08F6">
        <w:rPr>
          <w:rFonts w:cs="Times New Roman"/>
          <w:sz w:val="18"/>
          <w:szCs w:val="18"/>
          <w:lang w:val="en-US"/>
        </w:rPr>
        <w:t xml:space="preserve">, and </w:t>
      </w:r>
      <w:proofErr w:type="spellStart"/>
      <w:r w:rsidR="006D08F6">
        <w:rPr>
          <w:rFonts w:cs="Times New Roman"/>
          <w:sz w:val="18"/>
          <w:szCs w:val="18"/>
          <w:lang w:val="en-US"/>
        </w:rPr>
        <w:t>Cibinda</w:t>
      </w:r>
      <w:proofErr w:type="spellEnd"/>
      <w:r w:rsidR="006D08F6">
        <w:rPr>
          <w:rFonts w:cs="Times New Roman"/>
          <w:sz w:val="18"/>
          <w:szCs w:val="18"/>
          <w:lang w:val="en-US"/>
        </w:rPr>
        <w:t xml:space="preserve"> was the six villages targeted.</w:t>
      </w:r>
      <w:r w:rsidRPr="00FB0B34">
        <w:rPr>
          <w:rFonts w:cs="Times New Roman"/>
          <w:sz w:val="18"/>
          <w:szCs w:val="18"/>
          <w:lang w:val="en-US"/>
        </w:rPr>
        <w:t xml:space="preserve"> In total, 103 people were able to participate in the survey. Several activities were identified in these villages, including agriculture, charcoal production, timber trading, non-timber forest product (NTFP) sales, and forest management. For agricultural activity, 30 people were surveyed, with 5 people per village. Similarly, 30 people were surveyed in the charcoal production sector, also considering 5 people per village. Regarding timber trading, 18 people were surveyed, with 3 people per village. Likewise, 18 people participated in the survey regarding NTFP sales; that is, 3 people per village. Regarding forest management, the participation of 6 people was obtain</w:t>
      </w:r>
      <w:r w:rsidR="008C08A6" w:rsidRPr="00FB0B34">
        <w:rPr>
          <w:rFonts w:cs="Times New Roman"/>
          <w:sz w:val="18"/>
          <w:szCs w:val="18"/>
          <w:lang w:val="en-US"/>
        </w:rPr>
        <w:t xml:space="preserve">ed, with one person per village. </w:t>
      </w:r>
      <w:r w:rsidRPr="00FB0B34">
        <w:rPr>
          <w:rFonts w:cs="Times New Roman"/>
          <w:sz w:val="18"/>
          <w:szCs w:val="18"/>
          <w:lang w:val="en-US"/>
        </w:rPr>
        <w:t>The choice of the number of people per village was based on field observations, where the diversity of economic activities was evident. By prioritizing predominant activities such as agriculture and charcoal production and integrating less dominant sectors such as local forest management, timber trading, and NTFP sales, the selection reflected the diversity of local practices.</w:t>
      </w:r>
    </w:p>
    <w:p w:rsidR="00FD74EA" w:rsidRPr="00FB0B34" w:rsidRDefault="00843C67" w:rsidP="00F145A9">
      <w:pPr>
        <w:pStyle w:val="Titre1"/>
        <w:spacing w:before="0"/>
        <w:jc w:val="both"/>
        <w:rPr>
          <w:rFonts w:cs="Times New Roman"/>
          <w:i/>
          <w:color w:val="auto"/>
          <w:sz w:val="18"/>
          <w:szCs w:val="18"/>
          <w:lang w:val="en-US"/>
        </w:rPr>
      </w:pPr>
      <w:r>
        <w:rPr>
          <w:rFonts w:cs="Times New Roman"/>
          <w:i/>
          <w:color w:val="auto"/>
          <w:sz w:val="18"/>
          <w:szCs w:val="18"/>
          <w:lang w:val="en-US"/>
        </w:rPr>
        <w:t>2.2.4</w:t>
      </w:r>
      <w:r w:rsidR="00E30465" w:rsidRPr="00FB0B34">
        <w:rPr>
          <w:rFonts w:cs="Times New Roman"/>
          <w:i/>
          <w:color w:val="auto"/>
          <w:sz w:val="18"/>
          <w:szCs w:val="18"/>
          <w:lang w:val="en-US"/>
        </w:rPr>
        <w:t>.</w:t>
      </w:r>
      <w:r w:rsidR="00FD74EA" w:rsidRPr="00FB0B34">
        <w:rPr>
          <w:rFonts w:cs="Times New Roman"/>
          <w:i/>
          <w:color w:val="auto"/>
          <w:sz w:val="18"/>
          <w:szCs w:val="18"/>
          <w:lang w:val="en-US"/>
        </w:rPr>
        <w:t xml:space="preserve"> Analyzed</w:t>
      </w:r>
      <w:r w:rsidR="000F016A" w:rsidRPr="00FB0B34">
        <w:rPr>
          <w:rFonts w:cs="Times New Roman"/>
          <w:i/>
          <w:color w:val="auto"/>
          <w:sz w:val="18"/>
          <w:szCs w:val="18"/>
          <w:lang w:val="en-US"/>
        </w:rPr>
        <w:t xml:space="preserve"> parameters</w:t>
      </w:r>
    </w:p>
    <w:p w:rsidR="00C05A02" w:rsidRPr="001A03A6" w:rsidRDefault="00FD74EA" w:rsidP="001A03A6">
      <w:pPr>
        <w:pStyle w:val="Titre1"/>
        <w:spacing w:before="0"/>
        <w:jc w:val="both"/>
        <w:rPr>
          <w:rFonts w:cs="Times New Roman"/>
          <w:color w:val="auto"/>
          <w:sz w:val="18"/>
          <w:szCs w:val="18"/>
          <w:lang w:val="en-US"/>
        </w:rPr>
      </w:pPr>
      <w:r w:rsidRPr="00FB0B34">
        <w:rPr>
          <w:rFonts w:cs="Times New Roman"/>
          <w:color w:val="auto"/>
          <w:sz w:val="18"/>
          <w:szCs w:val="18"/>
          <w:lang w:val="en-US"/>
        </w:rPr>
        <w:t xml:space="preserve">The conducted analyses examined several variables in the context of different villages. These variables include local perceptions of ecosystem services, forest status (initial and current), </w:t>
      </w:r>
      <w:r w:rsidR="00E038D1" w:rsidRPr="00FB0B34">
        <w:rPr>
          <w:rFonts w:cs="Times New Roman"/>
          <w:color w:val="auto"/>
          <w:sz w:val="18"/>
          <w:szCs w:val="18"/>
          <w:lang w:val="en-US"/>
        </w:rPr>
        <w:t xml:space="preserve">and </w:t>
      </w:r>
      <w:r w:rsidRPr="00FB0B34">
        <w:rPr>
          <w:rFonts w:cs="Times New Roman"/>
          <w:color w:val="auto"/>
          <w:sz w:val="18"/>
          <w:szCs w:val="18"/>
          <w:lang w:val="en-US"/>
        </w:rPr>
        <w:t xml:space="preserve">engagement in conservation. Each variable was broken down into different modalities. For example, perceptions of ecosystem services were divided into cultural, provisioning, regulating, and supporting services. </w:t>
      </w:r>
    </w:p>
    <w:p w:rsidR="00FD74EA" w:rsidRPr="00FB0B34" w:rsidRDefault="00E30465" w:rsidP="00F145A9">
      <w:pPr>
        <w:pStyle w:val="Titre1"/>
        <w:spacing w:before="0"/>
        <w:jc w:val="both"/>
        <w:rPr>
          <w:rFonts w:cs="Times New Roman"/>
          <w:i/>
          <w:color w:val="auto"/>
          <w:sz w:val="18"/>
          <w:szCs w:val="18"/>
          <w:lang w:val="en-US"/>
        </w:rPr>
      </w:pPr>
      <w:r w:rsidRPr="00FB0B34">
        <w:rPr>
          <w:rFonts w:cs="Times New Roman"/>
          <w:i/>
          <w:color w:val="auto"/>
          <w:sz w:val="18"/>
          <w:szCs w:val="18"/>
          <w:lang w:val="en-US"/>
        </w:rPr>
        <w:t>2.2.8.</w:t>
      </w:r>
      <w:r w:rsidR="000F016A" w:rsidRPr="00FB0B34">
        <w:rPr>
          <w:rFonts w:cs="Times New Roman"/>
          <w:i/>
          <w:color w:val="auto"/>
          <w:sz w:val="18"/>
          <w:szCs w:val="18"/>
          <w:lang w:val="en-US"/>
        </w:rPr>
        <w:t xml:space="preserve"> Data a</w:t>
      </w:r>
      <w:r w:rsidR="00FD74EA" w:rsidRPr="00FB0B34">
        <w:rPr>
          <w:rFonts w:cs="Times New Roman"/>
          <w:i/>
          <w:color w:val="auto"/>
          <w:sz w:val="18"/>
          <w:szCs w:val="18"/>
          <w:lang w:val="en-US"/>
        </w:rPr>
        <w:t>nalysis</w:t>
      </w:r>
      <w:r w:rsidR="008C08A6" w:rsidRPr="00FB0B34">
        <w:rPr>
          <w:rFonts w:cs="Times New Roman"/>
          <w:i/>
          <w:color w:val="auto"/>
          <w:sz w:val="18"/>
          <w:szCs w:val="18"/>
          <w:lang w:val="en-US"/>
        </w:rPr>
        <w:t xml:space="preserve"> </w:t>
      </w:r>
    </w:p>
    <w:p w:rsidR="000C314D" w:rsidRPr="00611FD3" w:rsidRDefault="00FD74EA" w:rsidP="00611FD3">
      <w:pPr>
        <w:pStyle w:val="Titre1"/>
        <w:spacing w:before="0"/>
        <w:jc w:val="both"/>
        <w:rPr>
          <w:rFonts w:cs="Times New Roman"/>
          <w:color w:val="auto"/>
          <w:sz w:val="18"/>
          <w:szCs w:val="18"/>
          <w:lang w:val="en-US"/>
        </w:rPr>
        <w:sectPr w:rsidR="000C314D" w:rsidRPr="00611FD3" w:rsidSect="001A03A6">
          <w:type w:val="continuous"/>
          <w:pgSz w:w="11906" w:h="16838"/>
          <w:pgMar w:top="1417" w:right="1417" w:bottom="1417" w:left="1417" w:header="708" w:footer="680" w:gutter="0"/>
          <w:pgNumType w:fmt="numberInDash" w:start="1"/>
          <w:cols w:space="708"/>
          <w:titlePg/>
          <w:docGrid w:linePitch="360"/>
        </w:sectPr>
      </w:pPr>
      <w:r w:rsidRPr="00FB0B34">
        <w:rPr>
          <w:rFonts w:cs="Times New Roman"/>
          <w:color w:val="auto"/>
          <w:sz w:val="18"/>
          <w:szCs w:val="18"/>
          <w:lang w:val="en-US"/>
        </w:rPr>
        <w:t xml:space="preserve">The survey questionnaire was entered into the </w:t>
      </w:r>
      <w:proofErr w:type="spellStart"/>
      <w:r w:rsidRPr="00FB0B34">
        <w:rPr>
          <w:rFonts w:cs="Times New Roman"/>
          <w:color w:val="auto"/>
          <w:sz w:val="18"/>
          <w:szCs w:val="18"/>
          <w:lang w:val="en-US"/>
        </w:rPr>
        <w:t>K</w:t>
      </w:r>
      <w:r w:rsidR="000F016A" w:rsidRPr="00FB0B34">
        <w:rPr>
          <w:rFonts w:cs="Times New Roman"/>
          <w:color w:val="auto"/>
          <w:sz w:val="18"/>
          <w:szCs w:val="18"/>
          <w:lang w:val="en-US"/>
        </w:rPr>
        <w:t>obocollect</w:t>
      </w:r>
      <w:proofErr w:type="spellEnd"/>
      <w:r w:rsidRPr="00FB0B34">
        <w:rPr>
          <w:rFonts w:cs="Times New Roman"/>
          <w:color w:val="auto"/>
          <w:sz w:val="18"/>
          <w:szCs w:val="18"/>
          <w:lang w:val="en-US"/>
        </w:rPr>
        <w:t xml:space="preserve"> application, and the database was subsequently </w:t>
      </w:r>
      <w:r w:rsidR="001A03A6">
        <w:rPr>
          <w:rFonts w:cs="Times New Roman"/>
          <w:color w:val="auto"/>
          <w:sz w:val="18"/>
          <w:szCs w:val="18"/>
          <w:lang w:val="en-US"/>
        </w:rPr>
        <w:t>extracted for analysis in Python data processing software</w:t>
      </w:r>
      <w:bookmarkStart w:id="2" w:name="_GoBack"/>
      <w:bookmarkEnd w:id="2"/>
      <w:r w:rsidRPr="00FB0B34">
        <w:rPr>
          <w:rFonts w:cs="Times New Roman"/>
          <w:color w:val="auto"/>
          <w:sz w:val="18"/>
          <w:szCs w:val="18"/>
          <w:lang w:val="en-US"/>
        </w:rPr>
        <w:t>.</w:t>
      </w:r>
    </w:p>
    <w:p w:rsidR="000C314D" w:rsidRDefault="000C314D" w:rsidP="00F145A9">
      <w:pPr>
        <w:spacing w:after="0" w:line="240" w:lineRule="auto"/>
        <w:jc w:val="both"/>
        <w:rPr>
          <w:rFonts w:cs="Times New Roman"/>
          <w:b/>
          <w:sz w:val="18"/>
          <w:szCs w:val="18"/>
          <w:lang w:val="en-US"/>
        </w:rPr>
        <w:sectPr w:rsidR="000C314D" w:rsidSect="001A03A6">
          <w:type w:val="continuous"/>
          <w:pgSz w:w="11906" w:h="16838"/>
          <w:pgMar w:top="1417" w:right="1417" w:bottom="1417" w:left="1417" w:header="708" w:footer="680" w:gutter="0"/>
          <w:pgNumType w:fmt="numberInDash" w:start="1"/>
          <w:cols w:space="708"/>
          <w:titlePg/>
          <w:docGrid w:linePitch="360"/>
        </w:sectPr>
      </w:pPr>
    </w:p>
    <w:p w:rsidR="00E038D1" w:rsidRPr="001A03A6" w:rsidRDefault="00E038D1" w:rsidP="001A03A6">
      <w:pPr>
        <w:pStyle w:val="Paragraphedeliste"/>
        <w:numPr>
          <w:ilvl w:val="0"/>
          <w:numId w:val="5"/>
        </w:numPr>
        <w:spacing w:after="0" w:line="240" w:lineRule="auto"/>
        <w:jc w:val="both"/>
        <w:rPr>
          <w:rFonts w:cs="Times New Roman"/>
          <w:b/>
          <w:sz w:val="18"/>
          <w:szCs w:val="18"/>
          <w:lang w:val="en-US"/>
        </w:rPr>
      </w:pPr>
      <w:r w:rsidRPr="001A03A6">
        <w:rPr>
          <w:rFonts w:cs="Times New Roman"/>
          <w:b/>
          <w:sz w:val="18"/>
          <w:szCs w:val="18"/>
          <w:lang w:val="en-US"/>
        </w:rPr>
        <w:t>R</w:t>
      </w:r>
      <w:r w:rsidR="004B2C9E" w:rsidRPr="001A03A6">
        <w:rPr>
          <w:rFonts w:cs="Times New Roman"/>
          <w:b/>
          <w:sz w:val="18"/>
          <w:szCs w:val="18"/>
          <w:lang w:val="en-US"/>
        </w:rPr>
        <w:t xml:space="preserve">esults </w:t>
      </w:r>
    </w:p>
    <w:p w:rsidR="001A03A6" w:rsidRDefault="001A03A6" w:rsidP="001A03A6">
      <w:pPr>
        <w:spacing w:after="0" w:line="240" w:lineRule="auto"/>
        <w:jc w:val="both"/>
        <w:rPr>
          <w:rFonts w:cs="Times New Roman"/>
          <w:b/>
          <w:sz w:val="18"/>
          <w:szCs w:val="18"/>
          <w:lang w:val="en-US"/>
        </w:rPr>
      </w:pPr>
    </w:p>
    <w:p w:rsidR="001A03A6" w:rsidRPr="001A03A6" w:rsidRDefault="001A03A6" w:rsidP="001A03A6">
      <w:pPr>
        <w:pStyle w:val="Paragraphedeliste"/>
        <w:numPr>
          <w:ilvl w:val="1"/>
          <w:numId w:val="5"/>
        </w:numPr>
        <w:spacing w:after="0" w:line="240" w:lineRule="auto"/>
        <w:ind w:left="426" w:hanging="426"/>
        <w:jc w:val="both"/>
        <w:rPr>
          <w:i/>
          <w:sz w:val="18"/>
          <w:szCs w:val="18"/>
          <w:lang w:val="en-US"/>
        </w:rPr>
      </w:pPr>
      <w:r w:rsidRPr="001A03A6">
        <w:rPr>
          <w:i/>
          <w:sz w:val="18"/>
          <w:szCs w:val="18"/>
          <w:lang w:val="en-US"/>
        </w:rPr>
        <w:t>Socio-economic characteristics of the people surveyed</w:t>
      </w:r>
    </w:p>
    <w:p w:rsidR="001A03A6" w:rsidRPr="001A03A6" w:rsidRDefault="001A03A6" w:rsidP="001A03A6">
      <w:pPr>
        <w:spacing w:after="0" w:line="240" w:lineRule="auto"/>
        <w:jc w:val="both"/>
        <w:rPr>
          <w:rFonts w:cs="Times New Roman"/>
          <w:b/>
          <w:i/>
          <w:sz w:val="18"/>
          <w:szCs w:val="18"/>
          <w:lang w:val="en-US"/>
        </w:rPr>
      </w:pPr>
    </w:p>
    <w:p w:rsidR="001A03A6" w:rsidRPr="001A03A6" w:rsidRDefault="001A03A6" w:rsidP="001A03A6">
      <w:pPr>
        <w:pStyle w:val="Lgende"/>
        <w:keepNext/>
        <w:rPr>
          <w:color w:val="auto"/>
          <w:lang w:val="en-US"/>
        </w:rPr>
      </w:pPr>
      <w:r w:rsidRPr="001A03A6">
        <w:rPr>
          <w:color w:val="auto"/>
          <w:lang w:val="en-US"/>
        </w:rPr>
        <w:t xml:space="preserve">Tableau </w:t>
      </w:r>
      <w:r w:rsidRPr="001A03A6">
        <w:rPr>
          <w:color w:val="auto"/>
        </w:rPr>
        <w:fldChar w:fldCharType="begin"/>
      </w:r>
      <w:r w:rsidRPr="001A03A6">
        <w:rPr>
          <w:color w:val="auto"/>
          <w:lang w:val="en-US"/>
        </w:rPr>
        <w:instrText xml:space="preserve"> SEQ Tableau \* ARABIC </w:instrText>
      </w:r>
      <w:r w:rsidRPr="001A03A6">
        <w:rPr>
          <w:color w:val="auto"/>
        </w:rPr>
        <w:fldChar w:fldCharType="separate"/>
      </w:r>
      <w:r w:rsidRPr="001A03A6">
        <w:rPr>
          <w:noProof/>
          <w:color w:val="auto"/>
          <w:lang w:val="en-US"/>
        </w:rPr>
        <w:t>1</w:t>
      </w:r>
      <w:r w:rsidRPr="001A03A6">
        <w:rPr>
          <w:color w:val="auto"/>
        </w:rPr>
        <w:fldChar w:fldCharType="end"/>
      </w:r>
      <w:r w:rsidRPr="001A03A6">
        <w:rPr>
          <w:color w:val="auto"/>
          <w:lang w:val="en-US"/>
        </w:rPr>
        <w:t xml:space="preserve"> Socio-economic characteristics of the people surveyed</w:t>
      </w:r>
    </w:p>
    <w:tbl>
      <w:tblPr>
        <w:tblStyle w:val="Tableausimple2"/>
        <w:tblW w:w="9356" w:type="dxa"/>
        <w:tblLook w:val="04A0" w:firstRow="1" w:lastRow="0" w:firstColumn="1" w:lastColumn="0" w:noHBand="0" w:noVBand="1"/>
      </w:tblPr>
      <w:tblGrid>
        <w:gridCol w:w="3020"/>
        <w:gridCol w:w="3021"/>
        <w:gridCol w:w="3021"/>
        <w:gridCol w:w="294"/>
      </w:tblGrid>
      <w:tr w:rsidR="001A03A6" w:rsidRPr="00F00D99" w:rsidTr="00524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A03A6" w:rsidRPr="00F00D99" w:rsidRDefault="001A03A6" w:rsidP="00524A9A">
            <w:pPr>
              <w:rPr>
                <w:sz w:val="18"/>
                <w:szCs w:val="18"/>
              </w:rPr>
            </w:pPr>
            <w:proofErr w:type="spellStart"/>
            <w:r w:rsidRPr="00F00D99">
              <w:rPr>
                <w:sz w:val="18"/>
                <w:szCs w:val="18"/>
              </w:rPr>
              <w:t>Characteristic</w:t>
            </w:r>
            <w:proofErr w:type="spellEnd"/>
          </w:p>
        </w:tc>
        <w:tc>
          <w:tcPr>
            <w:tcW w:w="3021" w:type="dxa"/>
          </w:tcPr>
          <w:p w:rsidR="001A03A6" w:rsidRPr="00F00D99" w:rsidRDefault="001A03A6" w:rsidP="00524A9A">
            <w:pPr>
              <w:spacing w:after="0" w:line="240"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18"/>
                <w:szCs w:val="18"/>
                <w:lang w:val="en-US"/>
              </w:rPr>
            </w:pPr>
            <w:proofErr w:type="spellStart"/>
            <w:r w:rsidRPr="00F00D99">
              <w:rPr>
                <w:rFonts w:eastAsia="Times New Roman" w:cs="Times New Roman"/>
                <w:sz w:val="18"/>
                <w:szCs w:val="18"/>
                <w:lang w:eastAsia="fr-FR"/>
              </w:rPr>
              <w:t>Categories</w:t>
            </w:r>
            <w:proofErr w:type="spellEnd"/>
          </w:p>
        </w:tc>
        <w:tc>
          <w:tcPr>
            <w:tcW w:w="3021" w:type="dxa"/>
          </w:tcPr>
          <w:p w:rsidR="001A03A6" w:rsidRPr="00F00D99" w:rsidRDefault="001A03A6" w:rsidP="00524A9A">
            <w:pPr>
              <w:spacing w:after="0" w:line="240"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18"/>
                <w:szCs w:val="18"/>
                <w:lang w:val="en-US"/>
              </w:rPr>
            </w:pPr>
            <w:proofErr w:type="spellStart"/>
            <w:r w:rsidRPr="00F00D99">
              <w:rPr>
                <w:rFonts w:eastAsia="Times New Roman" w:cs="Times New Roman"/>
                <w:sz w:val="18"/>
                <w:szCs w:val="18"/>
                <w:lang w:eastAsia="fr-FR"/>
              </w:rPr>
              <w:t>Frequency</w:t>
            </w:r>
            <w:proofErr w:type="spellEnd"/>
            <w:r w:rsidRPr="00F00D99">
              <w:rPr>
                <w:rFonts w:eastAsia="Times New Roman" w:cs="Times New Roman"/>
                <w:sz w:val="18"/>
                <w:szCs w:val="18"/>
                <w:lang w:eastAsia="fr-FR"/>
              </w:rPr>
              <w:t xml:space="preserve"> (%)</w:t>
            </w:r>
          </w:p>
        </w:tc>
        <w:tc>
          <w:tcPr>
            <w:tcW w:w="294" w:type="dxa"/>
          </w:tcPr>
          <w:p w:rsidR="001A03A6" w:rsidRPr="00F00D99" w:rsidRDefault="001A03A6" w:rsidP="00524A9A">
            <w:pPr>
              <w:ind w:right="1985"/>
              <w:cnfStyle w:val="100000000000" w:firstRow="1" w:lastRow="0" w:firstColumn="0" w:lastColumn="0" w:oddVBand="0" w:evenVBand="0" w:oddHBand="0" w:evenHBand="0" w:firstRowFirstColumn="0" w:firstRowLastColumn="0" w:lastRowFirstColumn="0" w:lastRowLastColumn="0"/>
              <w:rPr>
                <w:sz w:val="18"/>
                <w:szCs w:val="18"/>
              </w:rPr>
            </w:pPr>
          </w:p>
        </w:tc>
      </w:tr>
      <w:tr w:rsidR="001A03A6" w:rsidRPr="00F00D99" w:rsidTr="00524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A03A6" w:rsidRPr="00F00D99" w:rsidRDefault="001A03A6" w:rsidP="00524A9A">
            <w:pPr>
              <w:rPr>
                <w:sz w:val="18"/>
                <w:szCs w:val="18"/>
              </w:rPr>
            </w:pPr>
            <w:r w:rsidRPr="00F00D99">
              <w:rPr>
                <w:sz w:val="18"/>
                <w:szCs w:val="18"/>
              </w:rPr>
              <w:t>Villages</w:t>
            </w:r>
          </w:p>
        </w:tc>
        <w:tc>
          <w:tcPr>
            <w:tcW w:w="3021" w:type="dxa"/>
          </w:tcPr>
          <w:p w:rsidR="001A03A6" w:rsidRPr="00F00D99" w:rsidRDefault="001A03A6" w:rsidP="00524A9A">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imes New Roman"/>
                <w:sz w:val="18"/>
                <w:szCs w:val="18"/>
              </w:rPr>
            </w:pPr>
            <w:proofErr w:type="spellStart"/>
            <w:r w:rsidRPr="00F00D99">
              <w:rPr>
                <w:rFonts w:cs="Times New Roman"/>
                <w:sz w:val="18"/>
                <w:szCs w:val="18"/>
              </w:rPr>
              <w:t>Caminunu</w:t>
            </w:r>
            <w:proofErr w:type="spellEnd"/>
            <w:r w:rsidRPr="00F00D99">
              <w:rPr>
                <w:rFonts w:cs="Times New Roman"/>
                <w:sz w:val="18"/>
                <w:szCs w:val="18"/>
              </w:rPr>
              <w:t xml:space="preserve">, </w:t>
            </w:r>
            <w:proofErr w:type="spellStart"/>
            <w:r w:rsidRPr="00F00D99">
              <w:rPr>
                <w:rFonts w:cs="Times New Roman"/>
                <w:sz w:val="18"/>
                <w:szCs w:val="18"/>
              </w:rPr>
              <w:t>Cibinda</w:t>
            </w:r>
            <w:proofErr w:type="spellEnd"/>
            <w:r w:rsidRPr="00F00D99">
              <w:rPr>
                <w:rFonts w:cs="Times New Roman"/>
                <w:sz w:val="18"/>
                <w:szCs w:val="18"/>
              </w:rPr>
              <w:t xml:space="preserve">, </w:t>
            </w:r>
            <w:proofErr w:type="spellStart"/>
            <w:r w:rsidRPr="00F00D99">
              <w:rPr>
                <w:rFonts w:cs="Times New Roman"/>
                <w:sz w:val="18"/>
                <w:szCs w:val="18"/>
              </w:rPr>
              <w:t>Cifunzi</w:t>
            </w:r>
            <w:proofErr w:type="spellEnd"/>
            <w:r w:rsidRPr="00F00D99">
              <w:rPr>
                <w:rFonts w:cs="Times New Roman"/>
                <w:sz w:val="18"/>
                <w:szCs w:val="18"/>
              </w:rPr>
              <w:t xml:space="preserve">, </w:t>
            </w:r>
            <w:proofErr w:type="spellStart"/>
            <w:r w:rsidRPr="00F00D99">
              <w:rPr>
                <w:rFonts w:cs="Times New Roman"/>
                <w:sz w:val="18"/>
                <w:szCs w:val="18"/>
              </w:rPr>
              <w:t>Fendula</w:t>
            </w:r>
            <w:proofErr w:type="spellEnd"/>
            <w:r w:rsidRPr="00F00D99">
              <w:rPr>
                <w:rFonts w:cs="Times New Roman"/>
                <w:sz w:val="18"/>
                <w:szCs w:val="18"/>
              </w:rPr>
              <w:t>, Mule, Rambo</w:t>
            </w:r>
          </w:p>
        </w:tc>
        <w:tc>
          <w:tcPr>
            <w:tcW w:w="3021" w:type="dxa"/>
          </w:tcPr>
          <w:p w:rsidR="001A03A6" w:rsidRPr="00F00D99" w:rsidRDefault="001A03A6" w:rsidP="00524A9A">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imes New Roman"/>
                <w:b/>
                <w:sz w:val="18"/>
                <w:szCs w:val="18"/>
              </w:rPr>
            </w:pPr>
            <w:r w:rsidRPr="00F00D99">
              <w:rPr>
                <w:rFonts w:eastAsia="Times New Roman" w:cs="Times New Roman"/>
                <w:sz w:val="18"/>
                <w:szCs w:val="18"/>
                <w:lang w:eastAsia="fr-FR"/>
              </w:rPr>
              <w:t>17.5%, 15.5%, 13.6%, 11.7%, 10.7%, 31.1%</w:t>
            </w:r>
          </w:p>
        </w:tc>
        <w:tc>
          <w:tcPr>
            <w:tcW w:w="294" w:type="dxa"/>
          </w:tcPr>
          <w:p w:rsidR="001A03A6" w:rsidRPr="00F00D99" w:rsidRDefault="001A03A6" w:rsidP="00524A9A">
            <w:pPr>
              <w:cnfStyle w:val="000000100000" w:firstRow="0" w:lastRow="0" w:firstColumn="0" w:lastColumn="0" w:oddVBand="0" w:evenVBand="0" w:oddHBand="1" w:evenHBand="0" w:firstRowFirstColumn="0" w:firstRowLastColumn="0" w:lastRowFirstColumn="0" w:lastRowLastColumn="0"/>
              <w:rPr>
                <w:sz w:val="18"/>
                <w:szCs w:val="18"/>
              </w:rPr>
            </w:pPr>
          </w:p>
        </w:tc>
      </w:tr>
      <w:tr w:rsidR="001A03A6" w:rsidRPr="00F00D99" w:rsidTr="00524A9A">
        <w:tc>
          <w:tcPr>
            <w:cnfStyle w:val="001000000000" w:firstRow="0" w:lastRow="0" w:firstColumn="1" w:lastColumn="0" w:oddVBand="0" w:evenVBand="0" w:oddHBand="0" w:evenHBand="0" w:firstRowFirstColumn="0" w:firstRowLastColumn="0" w:lastRowFirstColumn="0" w:lastRowLastColumn="0"/>
            <w:tcW w:w="3020" w:type="dxa"/>
          </w:tcPr>
          <w:p w:rsidR="001A03A6" w:rsidRPr="00F00D99" w:rsidRDefault="001A03A6" w:rsidP="00524A9A">
            <w:pPr>
              <w:rPr>
                <w:sz w:val="18"/>
                <w:szCs w:val="18"/>
              </w:rPr>
            </w:pPr>
            <w:proofErr w:type="spellStart"/>
            <w:r w:rsidRPr="00F00D99">
              <w:rPr>
                <w:sz w:val="18"/>
                <w:szCs w:val="18"/>
              </w:rPr>
              <w:t>Gender</w:t>
            </w:r>
            <w:proofErr w:type="spellEnd"/>
          </w:p>
        </w:tc>
        <w:tc>
          <w:tcPr>
            <w:tcW w:w="3021" w:type="dxa"/>
          </w:tcPr>
          <w:p w:rsidR="001A03A6" w:rsidRPr="00F00D99" w:rsidRDefault="001A03A6" w:rsidP="00524A9A">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F00D99">
              <w:rPr>
                <w:rFonts w:cs="Times New Roman"/>
                <w:sz w:val="18"/>
                <w:szCs w:val="18"/>
                <w:lang w:val="en-US"/>
              </w:rPr>
              <w:t>Female, Male</w:t>
            </w:r>
          </w:p>
        </w:tc>
        <w:tc>
          <w:tcPr>
            <w:tcW w:w="3021" w:type="dxa"/>
          </w:tcPr>
          <w:p w:rsidR="001A03A6" w:rsidRPr="00F00D99" w:rsidRDefault="001A03A6" w:rsidP="00524A9A">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imes New Roman"/>
                <w:b/>
                <w:sz w:val="18"/>
                <w:szCs w:val="18"/>
                <w:lang w:val="en-US"/>
              </w:rPr>
            </w:pPr>
            <w:r w:rsidRPr="00F00D99">
              <w:rPr>
                <w:rFonts w:eastAsia="Times New Roman" w:cs="Times New Roman"/>
                <w:sz w:val="18"/>
                <w:szCs w:val="18"/>
                <w:lang w:eastAsia="fr-FR"/>
              </w:rPr>
              <w:t>66.0%, 34.0%</w:t>
            </w:r>
          </w:p>
        </w:tc>
        <w:tc>
          <w:tcPr>
            <w:tcW w:w="294" w:type="dxa"/>
          </w:tcPr>
          <w:p w:rsidR="001A03A6" w:rsidRPr="00F00D99" w:rsidRDefault="001A03A6" w:rsidP="00524A9A">
            <w:pPr>
              <w:cnfStyle w:val="000000000000" w:firstRow="0" w:lastRow="0" w:firstColumn="0" w:lastColumn="0" w:oddVBand="0" w:evenVBand="0" w:oddHBand="0" w:evenHBand="0" w:firstRowFirstColumn="0" w:firstRowLastColumn="0" w:lastRowFirstColumn="0" w:lastRowLastColumn="0"/>
              <w:rPr>
                <w:sz w:val="18"/>
                <w:szCs w:val="18"/>
              </w:rPr>
            </w:pPr>
          </w:p>
        </w:tc>
      </w:tr>
      <w:tr w:rsidR="001A03A6" w:rsidRPr="00F00D99" w:rsidTr="00524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A03A6" w:rsidRPr="00F00D99" w:rsidRDefault="001A03A6" w:rsidP="00524A9A">
            <w:pPr>
              <w:rPr>
                <w:sz w:val="18"/>
                <w:szCs w:val="18"/>
              </w:rPr>
            </w:pPr>
            <w:r w:rsidRPr="00F00D99">
              <w:rPr>
                <w:sz w:val="18"/>
                <w:szCs w:val="18"/>
              </w:rPr>
              <w:t>Age</w:t>
            </w:r>
          </w:p>
        </w:tc>
        <w:tc>
          <w:tcPr>
            <w:tcW w:w="3021" w:type="dxa"/>
          </w:tcPr>
          <w:p w:rsidR="001A03A6" w:rsidRPr="00F00D99" w:rsidRDefault="001A03A6" w:rsidP="00524A9A">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imes New Roman"/>
                <w:b/>
                <w:sz w:val="18"/>
                <w:szCs w:val="18"/>
                <w:lang w:val="en-US"/>
              </w:rPr>
            </w:pPr>
            <w:r w:rsidRPr="00F00D99">
              <w:rPr>
                <w:rFonts w:eastAsia="Times New Roman" w:cs="Times New Roman"/>
                <w:sz w:val="18"/>
                <w:szCs w:val="18"/>
                <w:lang w:eastAsia="fr-FR"/>
              </w:rPr>
              <w:t>20-40, 41-60, 61-80, 81+</w:t>
            </w:r>
          </w:p>
        </w:tc>
        <w:tc>
          <w:tcPr>
            <w:tcW w:w="3021" w:type="dxa"/>
          </w:tcPr>
          <w:p w:rsidR="001A03A6" w:rsidRPr="00F00D99" w:rsidRDefault="001A03A6" w:rsidP="00524A9A">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imes New Roman"/>
                <w:b/>
                <w:sz w:val="18"/>
                <w:szCs w:val="18"/>
                <w:lang w:val="en-US"/>
              </w:rPr>
            </w:pPr>
            <w:r w:rsidRPr="00F00D99">
              <w:rPr>
                <w:rFonts w:eastAsia="Times New Roman" w:cs="Times New Roman"/>
                <w:sz w:val="18"/>
                <w:szCs w:val="18"/>
                <w:lang w:eastAsia="fr-FR"/>
              </w:rPr>
              <w:t>11.7%, 71.8%, 16.5%, 0.0%</w:t>
            </w:r>
          </w:p>
        </w:tc>
        <w:tc>
          <w:tcPr>
            <w:tcW w:w="294" w:type="dxa"/>
          </w:tcPr>
          <w:p w:rsidR="001A03A6" w:rsidRPr="00F00D99" w:rsidRDefault="001A03A6" w:rsidP="00524A9A">
            <w:pPr>
              <w:cnfStyle w:val="000000100000" w:firstRow="0" w:lastRow="0" w:firstColumn="0" w:lastColumn="0" w:oddVBand="0" w:evenVBand="0" w:oddHBand="1" w:evenHBand="0" w:firstRowFirstColumn="0" w:firstRowLastColumn="0" w:lastRowFirstColumn="0" w:lastRowLastColumn="0"/>
              <w:rPr>
                <w:sz w:val="18"/>
                <w:szCs w:val="18"/>
              </w:rPr>
            </w:pPr>
          </w:p>
        </w:tc>
      </w:tr>
      <w:tr w:rsidR="001A03A6" w:rsidRPr="00F00D99" w:rsidTr="00524A9A">
        <w:tc>
          <w:tcPr>
            <w:cnfStyle w:val="001000000000" w:firstRow="0" w:lastRow="0" w:firstColumn="1" w:lastColumn="0" w:oddVBand="0" w:evenVBand="0" w:oddHBand="0" w:evenHBand="0" w:firstRowFirstColumn="0" w:firstRowLastColumn="0" w:lastRowFirstColumn="0" w:lastRowLastColumn="0"/>
            <w:tcW w:w="3020" w:type="dxa"/>
          </w:tcPr>
          <w:p w:rsidR="001A03A6" w:rsidRPr="00F00D99" w:rsidRDefault="001A03A6" w:rsidP="00524A9A">
            <w:pPr>
              <w:rPr>
                <w:sz w:val="18"/>
                <w:szCs w:val="18"/>
              </w:rPr>
            </w:pPr>
            <w:r w:rsidRPr="00F00D99">
              <w:rPr>
                <w:sz w:val="18"/>
                <w:szCs w:val="18"/>
              </w:rPr>
              <w:t>Education</w:t>
            </w:r>
          </w:p>
        </w:tc>
        <w:tc>
          <w:tcPr>
            <w:tcW w:w="3021" w:type="dxa"/>
          </w:tcPr>
          <w:p w:rsidR="001A03A6" w:rsidRPr="00F00D99" w:rsidRDefault="001A03A6" w:rsidP="00524A9A">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imes New Roman"/>
                <w:b/>
                <w:sz w:val="18"/>
                <w:szCs w:val="18"/>
                <w:lang w:val="en-US"/>
              </w:rPr>
            </w:pPr>
            <w:proofErr w:type="spellStart"/>
            <w:r w:rsidRPr="00F00D99">
              <w:rPr>
                <w:rFonts w:eastAsia="Times New Roman" w:cs="Times New Roman"/>
                <w:sz w:val="18"/>
                <w:szCs w:val="18"/>
                <w:lang w:eastAsia="fr-FR"/>
              </w:rPr>
              <w:t>Primary</w:t>
            </w:r>
            <w:proofErr w:type="spellEnd"/>
            <w:r w:rsidRPr="00F00D99">
              <w:rPr>
                <w:rFonts w:eastAsia="Times New Roman" w:cs="Times New Roman"/>
                <w:sz w:val="18"/>
                <w:szCs w:val="18"/>
                <w:lang w:eastAsia="fr-FR"/>
              </w:rPr>
              <w:t xml:space="preserve">, </w:t>
            </w:r>
            <w:proofErr w:type="spellStart"/>
            <w:r w:rsidRPr="00F00D99">
              <w:rPr>
                <w:rFonts w:eastAsia="Times New Roman" w:cs="Times New Roman"/>
                <w:sz w:val="18"/>
                <w:szCs w:val="18"/>
                <w:lang w:eastAsia="fr-FR"/>
              </w:rPr>
              <w:t>Secondary</w:t>
            </w:r>
            <w:proofErr w:type="spellEnd"/>
            <w:r w:rsidRPr="00F00D99">
              <w:rPr>
                <w:rFonts w:eastAsia="Times New Roman" w:cs="Times New Roman"/>
                <w:sz w:val="18"/>
                <w:szCs w:val="18"/>
                <w:lang w:eastAsia="fr-FR"/>
              </w:rPr>
              <w:t xml:space="preserve">, </w:t>
            </w:r>
            <w:proofErr w:type="spellStart"/>
            <w:r w:rsidRPr="00F00D99">
              <w:rPr>
                <w:rFonts w:eastAsia="Times New Roman" w:cs="Times New Roman"/>
                <w:sz w:val="18"/>
                <w:szCs w:val="18"/>
                <w:lang w:eastAsia="fr-FR"/>
              </w:rPr>
              <w:t>Tertiary</w:t>
            </w:r>
            <w:proofErr w:type="spellEnd"/>
          </w:p>
        </w:tc>
        <w:tc>
          <w:tcPr>
            <w:tcW w:w="3021" w:type="dxa"/>
          </w:tcPr>
          <w:p w:rsidR="001A03A6" w:rsidRPr="00F00D99" w:rsidRDefault="001A03A6" w:rsidP="00524A9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fr-FR"/>
              </w:rPr>
            </w:pPr>
            <w:r w:rsidRPr="00F00D99">
              <w:rPr>
                <w:rFonts w:eastAsia="Times New Roman" w:cs="Times New Roman"/>
                <w:sz w:val="18"/>
                <w:szCs w:val="18"/>
                <w:lang w:eastAsia="fr-FR"/>
              </w:rPr>
              <w:t>55.3%, 27.2%, 17.5%</w:t>
            </w:r>
          </w:p>
        </w:tc>
        <w:tc>
          <w:tcPr>
            <w:tcW w:w="294" w:type="dxa"/>
          </w:tcPr>
          <w:p w:rsidR="001A03A6" w:rsidRPr="00F00D99" w:rsidRDefault="001A03A6" w:rsidP="00524A9A">
            <w:pPr>
              <w:cnfStyle w:val="000000000000" w:firstRow="0" w:lastRow="0" w:firstColumn="0" w:lastColumn="0" w:oddVBand="0" w:evenVBand="0" w:oddHBand="0" w:evenHBand="0" w:firstRowFirstColumn="0" w:firstRowLastColumn="0" w:lastRowFirstColumn="0" w:lastRowLastColumn="0"/>
              <w:rPr>
                <w:sz w:val="18"/>
                <w:szCs w:val="18"/>
              </w:rPr>
            </w:pPr>
          </w:p>
        </w:tc>
      </w:tr>
      <w:tr w:rsidR="001A03A6" w:rsidRPr="00F00D99" w:rsidTr="00524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A03A6" w:rsidRPr="00F00D99" w:rsidRDefault="001A03A6" w:rsidP="00524A9A">
            <w:pPr>
              <w:rPr>
                <w:sz w:val="18"/>
                <w:szCs w:val="18"/>
              </w:rPr>
            </w:pPr>
            <w:proofErr w:type="spellStart"/>
            <w:r w:rsidRPr="00F00D99">
              <w:rPr>
                <w:sz w:val="18"/>
                <w:szCs w:val="18"/>
              </w:rPr>
              <w:t>Activity</w:t>
            </w:r>
            <w:proofErr w:type="spellEnd"/>
          </w:p>
        </w:tc>
        <w:tc>
          <w:tcPr>
            <w:tcW w:w="3021" w:type="dxa"/>
          </w:tcPr>
          <w:p w:rsidR="001A03A6" w:rsidRPr="00F00D99" w:rsidRDefault="001A03A6" w:rsidP="00524A9A">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imes New Roman"/>
                <w:b/>
                <w:sz w:val="18"/>
                <w:szCs w:val="18"/>
                <w:lang w:val="en-US"/>
              </w:rPr>
            </w:pPr>
            <w:r w:rsidRPr="00F00D99">
              <w:rPr>
                <w:rFonts w:eastAsia="Times New Roman" w:cs="Times New Roman"/>
                <w:sz w:val="18"/>
                <w:szCs w:val="18"/>
                <w:lang w:val="en-US" w:eastAsia="fr-FR"/>
              </w:rPr>
              <w:t>Agriculture, Charcoal Selling, Commerce, Handicraft, Other</w:t>
            </w:r>
          </w:p>
        </w:tc>
        <w:tc>
          <w:tcPr>
            <w:tcW w:w="3021" w:type="dxa"/>
          </w:tcPr>
          <w:p w:rsidR="001A03A6" w:rsidRPr="00F00D99" w:rsidRDefault="001A03A6" w:rsidP="00524A9A">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imes New Roman"/>
                <w:b/>
                <w:sz w:val="18"/>
                <w:szCs w:val="18"/>
                <w:lang w:val="en-US"/>
              </w:rPr>
            </w:pPr>
            <w:r w:rsidRPr="00F00D99">
              <w:rPr>
                <w:rFonts w:eastAsia="Times New Roman" w:cs="Times New Roman"/>
                <w:sz w:val="18"/>
                <w:szCs w:val="18"/>
                <w:lang w:eastAsia="fr-FR"/>
              </w:rPr>
              <w:t>29.1%, 24.3%, 19.4%, 9.7%, 17.5%</w:t>
            </w:r>
          </w:p>
        </w:tc>
        <w:tc>
          <w:tcPr>
            <w:tcW w:w="294" w:type="dxa"/>
          </w:tcPr>
          <w:p w:rsidR="001A03A6" w:rsidRPr="00F00D99" w:rsidRDefault="001A03A6" w:rsidP="00524A9A">
            <w:pPr>
              <w:cnfStyle w:val="000000100000" w:firstRow="0" w:lastRow="0" w:firstColumn="0" w:lastColumn="0" w:oddVBand="0" w:evenVBand="0" w:oddHBand="1" w:evenHBand="0" w:firstRowFirstColumn="0" w:firstRowLastColumn="0" w:lastRowFirstColumn="0" w:lastRowLastColumn="0"/>
              <w:rPr>
                <w:sz w:val="18"/>
                <w:szCs w:val="18"/>
              </w:rPr>
            </w:pPr>
          </w:p>
        </w:tc>
      </w:tr>
    </w:tbl>
    <w:p w:rsidR="001A03A6" w:rsidRDefault="001A03A6" w:rsidP="001A03A6">
      <w:pPr>
        <w:spacing w:after="0" w:line="240" w:lineRule="auto"/>
        <w:jc w:val="both"/>
        <w:rPr>
          <w:rFonts w:cs="Times New Roman"/>
          <w:sz w:val="18"/>
          <w:szCs w:val="18"/>
          <w:lang w:val="en-US"/>
        </w:rPr>
      </w:pPr>
    </w:p>
    <w:p w:rsidR="001A03A6" w:rsidRPr="001A03A6" w:rsidRDefault="001A03A6" w:rsidP="001A03A6">
      <w:pPr>
        <w:spacing w:after="0" w:line="240" w:lineRule="auto"/>
        <w:jc w:val="both"/>
        <w:rPr>
          <w:rFonts w:cs="Times New Roman"/>
          <w:sz w:val="18"/>
          <w:szCs w:val="18"/>
          <w:lang w:val="en-US"/>
        </w:rPr>
      </w:pPr>
      <w:r w:rsidRPr="001A03A6">
        <w:rPr>
          <w:rFonts w:cs="Times New Roman"/>
          <w:sz w:val="18"/>
          <w:szCs w:val="18"/>
          <w:lang w:val="en-US"/>
        </w:rPr>
        <w:t>The population is predominantly female, aged 41-60, with most having primary education. Rambo is the largest village, and agriculture is the primary activity, followed by charcoal selling and commerce.</w:t>
      </w:r>
      <w:r>
        <w:rPr>
          <w:rFonts w:cs="Times New Roman"/>
          <w:sz w:val="18"/>
          <w:szCs w:val="18"/>
          <w:lang w:val="en-US"/>
        </w:rPr>
        <w:t xml:space="preserve"> (</w:t>
      </w:r>
      <w:r w:rsidRPr="001A03A6">
        <w:rPr>
          <w:rFonts w:cs="Times New Roman"/>
          <w:b/>
          <w:sz w:val="18"/>
          <w:szCs w:val="18"/>
          <w:lang w:val="en-US"/>
        </w:rPr>
        <w:t>Table 1</w:t>
      </w:r>
      <w:r>
        <w:rPr>
          <w:rFonts w:cs="Times New Roman"/>
          <w:sz w:val="18"/>
          <w:szCs w:val="18"/>
          <w:lang w:val="en-US"/>
        </w:rPr>
        <w:t>.)</w:t>
      </w:r>
    </w:p>
    <w:p w:rsidR="001A03A6" w:rsidRPr="001A03A6" w:rsidRDefault="001A03A6" w:rsidP="001A03A6">
      <w:pPr>
        <w:spacing w:after="0" w:line="240" w:lineRule="auto"/>
        <w:jc w:val="both"/>
        <w:rPr>
          <w:rFonts w:cs="Times New Roman"/>
          <w:b/>
          <w:sz w:val="18"/>
          <w:szCs w:val="18"/>
          <w:lang w:val="en-US"/>
        </w:rPr>
      </w:pPr>
    </w:p>
    <w:p w:rsidR="00E038D1" w:rsidRPr="00FB0B34" w:rsidRDefault="001A03A6" w:rsidP="00F145A9">
      <w:pPr>
        <w:spacing w:after="0" w:line="240" w:lineRule="auto"/>
        <w:jc w:val="both"/>
        <w:rPr>
          <w:rFonts w:cs="Times New Roman"/>
          <w:i/>
          <w:sz w:val="18"/>
          <w:szCs w:val="18"/>
          <w:lang w:val="en-US"/>
        </w:rPr>
      </w:pPr>
      <w:r>
        <w:rPr>
          <w:rFonts w:cs="Times New Roman"/>
          <w:i/>
          <w:sz w:val="18"/>
          <w:szCs w:val="18"/>
          <w:lang w:val="en-US"/>
        </w:rPr>
        <w:t>3.2</w:t>
      </w:r>
      <w:r w:rsidR="000F016A" w:rsidRPr="00FB0B34">
        <w:rPr>
          <w:rFonts w:cs="Times New Roman"/>
          <w:i/>
          <w:sz w:val="18"/>
          <w:szCs w:val="18"/>
          <w:lang w:val="en-US"/>
        </w:rPr>
        <w:t>. Local perception of ecosystem services</w:t>
      </w:r>
    </w:p>
    <w:p w:rsidR="00C05A02" w:rsidRPr="00FB0B34" w:rsidRDefault="00C05A02" w:rsidP="00F145A9">
      <w:pPr>
        <w:spacing w:after="0" w:line="240" w:lineRule="auto"/>
        <w:jc w:val="both"/>
        <w:rPr>
          <w:rFonts w:cs="Times New Roman"/>
          <w:i/>
          <w:sz w:val="18"/>
          <w:szCs w:val="18"/>
          <w:lang w:val="en-US"/>
        </w:rPr>
      </w:pPr>
    </w:p>
    <w:p w:rsidR="00C05A02" w:rsidRPr="00FB0B34" w:rsidRDefault="001A03A6" w:rsidP="00F145A9">
      <w:pPr>
        <w:spacing w:after="0" w:line="240" w:lineRule="auto"/>
        <w:jc w:val="both"/>
        <w:rPr>
          <w:rFonts w:cs="Times New Roman"/>
          <w:i/>
          <w:sz w:val="18"/>
          <w:szCs w:val="18"/>
          <w:lang w:val="en-US"/>
        </w:rPr>
      </w:pPr>
      <w:r>
        <w:rPr>
          <w:rFonts w:cs="Times New Roman"/>
          <w:i/>
          <w:sz w:val="18"/>
          <w:szCs w:val="18"/>
          <w:lang w:val="en-US"/>
        </w:rPr>
        <w:t>Table 2</w:t>
      </w:r>
      <w:r w:rsidR="000F016A" w:rsidRPr="00FB0B34">
        <w:rPr>
          <w:rFonts w:cs="Times New Roman"/>
          <w:i/>
          <w:sz w:val="18"/>
          <w:szCs w:val="18"/>
          <w:lang w:val="en-US"/>
        </w:rPr>
        <w:t>: Perception of ecosystem services by village</w:t>
      </w:r>
    </w:p>
    <w:p w:rsidR="000C314D" w:rsidRDefault="000C314D" w:rsidP="00F145A9">
      <w:pPr>
        <w:spacing w:after="0" w:line="240" w:lineRule="auto"/>
        <w:jc w:val="both"/>
        <w:rPr>
          <w:rFonts w:cs="Times New Roman"/>
          <w:i/>
          <w:sz w:val="18"/>
          <w:szCs w:val="18"/>
          <w:lang w:val="en-US"/>
        </w:rPr>
        <w:sectPr w:rsidR="000C314D" w:rsidSect="001A03A6">
          <w:type w:val="continuous"/>
          <w:pgSz w:w="11906" w:h="16838"/>
          <w:pgMar w:top="1417" w:right="1417" w:bottom="1417" w:left="1417" w:header="708" w:footer="680" w:gutter="0"/>
          <w:pgNumType w:fmt="numberInDash" w:start="1"/>
          <w:cols w:space="708"/>
          <w:titlePg/>
          <w:docGrid w:linePitch="360"/>
        </w:sectPr>
      </w:pPr>
    </w:p>
    <w:p w:rsidR="00F47F19" w:rsidRPr="00FB0B34" w:rsidRDefault="00F47F19" w:rsidP="00F145A9">
      <w:pPr>
        <w:spacing w:after="0" w:line="240" w:lineRule="auto"/>
        <w:jc w:val="both"/>
        <w:rPr>
          <w:rFonts w:cs="Times New Roman"/>
          <w:i/>
          <w:sz w:val="18"/>
          <w:szCs w:val="18"/>
          <w:lang w:val="en-US"/>
        </w:rPr>
      </w:pPr>
    </w:p>
    <w:bookmarkEnd w:id="1"/>
    <w:p w:rsidR="008B2D2B" w:rsidRDefault="008B2D2B" w:rsidP="00F145A9">
      <w:pPr>
        <w:spacing w:line="240" w:lineRule="auto"/>
        <w:jc w:val="both"/>
        <w:rPr>
          <w:rFonts w:cs="Times New Roman"/>
          <w:b/>
          <w:bCs/>
          <w:sz w:val="18"/>
          <w:szCs w:val="18"/>
          <w:lang w:val="en-US"/>
        </w:rPr>
        <w:sectPr w:rsidR="008B2D2B" w:rsidSect="001A03A6">
          <w:type w:val="continuous"/>
          <w:pgSz w:w="11906" w:h="16838"/>
          <w:pgMar w:top="1417" w:right="1417" w:bottom="1417" w:left="1417" w:header="708" w:footer="680" w:gutter="0"/>
          <w:pgNumType w:fmt="numberInDash" w:start="1"/>
          <w:cols w:space="708"/>
          <w:titlePg/>
          <w:docGrid w:linePitch="360"/>
        </w:sectPr>
      </w:pPr>
    </w:p>
    <w:tbl>
      <w:tblPr>
        <w:tblStyle w:val="Tableausimple2"/>
        <w:tblW w:w="0" w:type="auto"/>
        <w:tblLook w:val="04A0" w:firstRow="1" w:lastRow="0" w:firstColumn="1" w:lastColumn="0" w:noHBand="0" w:noVBand="1"/>
      </w:tblPr>
      <w:tblGrid>
        <w:gridCol w:w="1294"/>
        <w:gridCol w:w="1294"/>
        <w:gridCol w:w="1294"/>
        <w:gridCol w:w="1295"/>
        <w:gridCol w:w="1295"/>
        <w:gridCol w:w="1295"/>
        <w:gridCol w:w="1295"/>
      </w:tblGrid>
      <w:tr w:rsidR="00E038D1" w:rsidRPr="00FB0B34" w:rsidTr="008B2D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E038D1" w:rsidRPr="00FB0B34" w:rsidRDefault="00E038D1" w:rsidP="00F145A9">
            <w:pPr>
              <w:spacing w:line="240" w:lineRule="auto"/>
              <w:jc w:val="both"/>
              <w:rPr>
                <w:rFonts w:cs="Times New Roman"/>
                <w:sz w:val="18"/>
                <w:szCs w:val="18"/>
                <w:lang w:val="en-US"/>
              </w:rPr>
            </w:pPr>
            <w:r w:rsidRPr="00FB0B34">
              <w:rPr>
                <w:rFonts w:cs="Times New Roman"/>
                <w:sz w:val="18"/>
                <w:szCs w:val="18"/>
                <w:lang w:val="en-US"/>
              </w:rPr>
              <w:t xml:space="preserve">Village/ES   </w:t>
            </w:r>
          </w:p>
        </w:tc>
        <w:tc>
          <w:tcPr>
            <w:tcW w:w="1294" w:type="dxa"/>
          </w:tcPr>
          <w:p w:rsidR="00E038D1" w:rsidRPr="00FB0B34" w:rsidRDefault="00E038D1" w:rsidP="00F145A9">
            <w:pPr>
              <w:spacing w:line="240" w:lineRule="auto"/>
              <w:jc w:val="both"/>
              <w:cnfStyle w:val="100000000000" w:firstRow="1" w:lastRow="0" w:firstColumn="0" w:lastColumn="0" w:oddVBand="0" w:evenVBand="0" w:oddHBand="0" w:evenHBand="0" w:firstRowFirstColumn="0" w:firstRowLastColumn="0" w:lastRowFirstColumn="0" w:lastRowLastColumn="0"/>
              <w:rPr>
                <w:rFonts w:cs="Times New Roman"/>
                <w:sz w:val="18"/>
                <w:szCs w:val="18"/>
                <w:lang w:val="en-US"/>
              </w:rPr>
            </w:pPr>
            <w:proofErr w:type="spellStart"/>
            <w:r w:rsidRPr="00FB0B34">
              <w:rPr>
                <w:rFonts w:cs="Times New Roman"/>
                <w:sz w:val="18"/>
                <w:szCs w:val="18"/>
                <w:lang w:val="en-US"/>
              </w:rPr>
              <w:t>Caminunu</w:t>
            </w:r>
            <w:proofErr w:type="spellEnd"/>
          </w:p>
        </w:tc>
        <w:tc>
          <w:tcPr>
            <w:tcW w:w="1294" w:type="dxa"/>
          </w:tcPr>
          <w:p w:rsidR="00E038D1" w:rsidRPr="00FB0B34" w:rsidRDefault="00E038D1" w:rsidP="00F145A9">
            <w:pPr>
              <w:spacing w:line="240" w:lineRule="auto"/>
              <w:jc w:val="both"/>
              <w:cnfStyle w:val="100000000000" w:firstRow="1" w:lastRow="0" w:firstColumn="0" w:lastColumn="0" w:oddVBand="0" w:evenVBand="0" w:oddHBand="0" w:evenHBand="0" w:firstRowFirstColumn="0" w:firstRowLastColumn="0" w:lastRowFirstColumn="0" w:lastRowLastColumn="0"/>
              <w:rPr>
                <w:rFonts w:cs="Times New Roman"/>
                <w:sz w:val="18"/>
                <w:szCs w:val="18"/>
                <w:lang w:val="en-US"/>
              </w:rPr>
            </w:pPr>
            <w:proofErr w:type="spellStart"/>
            <w:r w:rsidRPr="00FB0B34">
              <w:rPr>
                <w:rFonts w:cs="Times New Roman"/>
                <w:sz w:val="18"/>
                <w:szCs w:val="18"/>
                <w:lang w:val="en-US"/>
              </w:rPr>
              <w:t>Cibinda</w:t>
            </w:r>
            <w:proofErr w:type="spellEnd"/>
          </w:p>
        </w:tc>
        <w:tc>
          <w:tcPr>
            <w:tcW w:w="1295" w:type="dxa"/>
          </w:tcPr>
          <w:p w:rsidR="00E038D1" w:rsidRPr="00FB0B34" w:rsidRDefault="00E038D1" w:rsidP="00F145A9">
            <w:pPr>
              <w:spacing w:line="240" w:lineRule="auto"/>
              <w:jc w:val="both"/>
              <w:cnfStyle w:val="100000000000" w:firstRow="1" w:lastRow="0" w:firstColumn="0" w:lastColumn="0" w:oddVBand="0" w:evenVBand="0" w:oddHBand="0" w:evenHBand="0" w:firstRowFirstColumn="0" w:firstRowLastColumn="0" w:lastRowFirstColumn="0" w:lastRowLastColumn="0"/>
              <w:rPr>
                <w:rFonts w:cs="Times New Roman"/>
                <w:sz w:val="18"/>
                <w:szCs w:val="18"/>
                <w:lang w:val="en-US"/>
              </w:rPr>
            </w:pPr>
            <w:proofErr w:type="spellStart"/>
            <w:r w:rsidRPr="00FB0B34">
              <w:rPr>
                <w:rFonts w:cs="Times New Roman"/>
                <w:sz w:val="18"/>
                <w:szCs w:val="18"/>
                <w:lang w:val="en-US"/>
              </w:rPr>
              <w:t>Cifunzi</w:t>
            </w:r>
            <w:proofErr w:type="spellEnd"/>
          </w:p>
        </w:tc>
        <w:tc>
          <w:tcPr>
            <w:tcW w:w="1295" w:type="dxa"/>
          </w:tcPr>
          <w:p w:rsidR="00E038D1" w:rsidRPr="00FB0B34" w:rsidRDefault="00E038D1" w:rsidP="00F145A9">
            <w:pPr>
              <w:spacing w:line="240" w:lineRule="auto"/>
              <w:jc w:val="both"/>
              <w:cnfStyle w:val="100000000000" w:firstRow="1" w:lastRow="0" w:firstColumn="0" w:lastColumn="0" w:oddVBand="0" w:evenVBand="0" w:oddHBand="0" w:evenHBand="0" w:firstRowFirstColumn="0" w:firstRowLastColumn="0" w:lastRowFirstColumn="0" w:lastRowLastColumn="0"/>
              <w:rPr>
                <w:rFonts w:cs="Times New Roman"/>
                <w:sz w:val="18"/>
                <w:szCs w:val="18"/>
                <w:lang w:val="en-US"/>
              </w:rPr>
            </w:pPr>
            <w:proofErr w:type="spellStart"/>
            <w:r w:rsidRPr="00FB0B34">
              <w:rPr>
                <w:rFonts w:cs="Times New Roman"/>
                <w:sz w:val="18"/>
                <w:szCs w:val="18"/>
                <w:lang w:val="en-US"/>
              </w:rPr>
              <w:t>Fendula</w:t>
            </w:r>
            <w:proofErr w:type="spellEnd"/>
          </w:p>
        </w:tc>
        <w:tc>
          <w:tcPr>
            <w:tcW w:w="1295" w:type="dxa"/>
          </w:tcPr>
          <w:p w:rsidR="00E038D1" w:rsidRPr="00FB0B34" w:rsidRDefault="00E038D1" w:rsidP="00F145A9">
            <w:pPr>
              <w:spacing w:line="240" w:lineRule="auto"/>
              <w:jc w:val="both"/>
              <w:cnfStyle w:val="100000000000" w:firstRow="1" w:lastRow="0" w:firstColumn="0" w:lastColumn="0" w:oddVBand="0" w:evenVBand="0" w:oddHBand="0" w:evenHBand="0" w:firstRowFirstColumn="0" w:firstRowLastColumn="0" w:lastRowFirstColumn="0" w:lastRowLastColumn="0"/>
              <w:rPr>
                <w:rFonts w:cs="Times New Roman"/>
                <w:sz w:val="18"/>
                <w:szCs w:val="18"/>
                <w:lang w:val="en-US"/>
              </w:rPr>
            </w:pPr>
            <w:r w:rsidRPr="00FB0B34">
              <w:rPr>
                <w:rFonts w:cs="Times New Roman"/>
                <w:sz w:val="18"/>
                <w:szCs w:val="18"/>
                <w:lang w:val="en-US"/>
              </w:rPr>
              <w:t>Mule</w:t>
            </w:r>
          </w:p>
        </w:tc>
        <w:tc>
          <w:tcPr>
            <w:tcW w:w="1295" w:type="dxa"/>
          </w:tcPr>
          <w:p w:rsidR="00E038D1" w:rsidRPr="00FB0B34" w:rsidRDefault="00E038D1" w:rsidP="00F145A9">
            <w:pPr>
              <w:spacing w:line="240" w:lineRule="auto"/>
              <w:jc w:val="both"/>
              <w:cnfStyle w:val="100000000000" w:firstRow="1" w:lastRow="0" w:firstColumn="0" w:lastColumn="0" w:oddVBand="0" w:evenVBand="0" w:oddHBand="0" w:evenHBand="0" w:firstRowFirstColumn="0" w:firstRowLastColumn="0" w:lastRowFirstColumn="0" w:lastRowLastColumn="0"/>
              <w:rPr>
                <w:rFonts w:cs="Times New Roman"/>
                <w:sz w:val="18"/>
                <w:szCs w:val="18"/>
                <w:lang w:val="en-US"/>
              </w:rPr>
            </w:pPr>
            <w:r w:rsidRPr="00FB0B34">
              <w:rPr>
                <w:rFonts w:cs="Times New Roman"/>
                <w:sz w:val="18"/>
                <w:szCs w:val="18"/>
                <w:lang w:val="en-US"/>
              </w:rPr>
              <w:t>Rambo</w:t>
            </w:r>
          </w:p>
        </w:tc>
      </w:tr>
      <w:tr w:rsidR="00E038D1" w:rsidRPr="00FB0B34" w:rsidTr="008B2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E038D1" w:rsidRPr="00FB0B34" w:rsidRDefault="00E038D1" w:rsidP="00F145A9">
            <w:pPr>
              <w:spacing w:line="240" w:lineRule="auto"/>
              <w:jc w:val="both"/>
              <w:rPr>
                <w:rFonts w:cs="Times New Roman"/>
                <w:sz w:val="18"/>
                <w:szCs w:val="18"/>
                <w:lang w:val="en-US"/>
              </w:rPr>
            </w:pPr>
            <w:r w:rsidRPr="00FB0B34">
              <w:rPr>
                <w:rFonts w:cs="Times New Roman"/>
                <w:sz w:val="18"/>
                <w:szCs w:val="18"/>
                <w:lang w:val="en-US"/>
              </w:rPr>
              <w:t>Provisioning</w:t>
            </w:r>
          </w:p>
        </w:tc>
        <w:tc>
          <w:tcPr>
            <w:tcW w:w="1294" w:type="dxa"/>
          </w:tcPr>
          <w:p w:rsidR="00E038D1" w:rsidRPr="00FB0B34" w:rsidRDefault="00E038D1" w:rsidP="00F145A9">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FB0B34">
              <w:rPr>
                <w:rFonts w:cs="Times New Roman"/>
                <w:sz w:val="18"/>
                <w:szCs w:val="18"/>
                <w:lang w:val="en-US"/>
              </w:rPr>
              <w:t xml:space="preserve">82.4%    </w:t>
            </w:r>
          </w:p>
        </w:tc>
        <w:tc>
          <w:tcPr>
            <w:tcW w:w="1294" w:type="dxa"/>
          </w:tcPr>
          <w:p w:rsidR="00E038D1" w:rsidRPr="00FB0B34" w:rsidRDefault="00E038D1" w:rsidP="00F145A9">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FB0B34">
              <w:rPr>
                <w:rFonts w:cs="Times New Roman"/>
                <w:sz w:val="18"/>
                <w:szCs w:val="18"/>
                <w:lang w:val="en-US"/>
              </w:rPr>
              <w:t xml:space="preserve">64.7%   </w:t>
            </w:r>
          </w:p>
        </w:tc>
        <w:tc>
          <w:tcPr>
            <w:tcW w:w="1295" w:type="dxa"/>
          </w:tcPr>
          <w:p w:rsidR="00E038D1" w:rsidRPr="00FB0B34" w:rsidRDefault="00E038D1" w:rsidP="00F145A9">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FB0B34">
              <w:rPr>
                <w:rFonts w:cs="Times New Roman"/>
                <w:sz w:val="18"/>
                <w:szCs w:val="18"/>
                <w:lang w:val="en-US"/>
              </w:rPr>
              <w:t>72.2%</w:t>
            </w:r>
          </w:p>
        </w:tc>
        <w:tc>
          <w:tcPr>
            <w:tcW w:w="1295" w:type="dxa"/>
          </w:tcPr>
          <w:p w:rsidR="00E038D1" w:rsidRPr="00FB0B34" w:rsidRDefault="00E038D1" w:rsidP="00F145A9">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FB0B34">
              <w:rPr>
                <w:rFonts w:cs="Times New Roman"/>
                <w:sz w:val="18"/>
                <w:szCs w:val="18"/>
                <w:lang w:val="en-US"/>
              </w:rPr>
              <w:t xml:space="preserve">76.5%   </w:t>
            </w:r>
          </w:p>
        </w:tc>
        <w:tc>
          <w:tcPr>
            <w:tcW w:w="1295" w:type="dxa"/>
          </w:tcPr>
          <w:p w:rsidR="00E038D1" w:rsidRPr="00FB0B34" w:rsidRDefault="00E038D1" w:rsidP="00F145A9">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FB0B34">
              <w:rPr>
                <w:rFonts w:cs="Times New Roman"/>
                <w:sz w:val="18"/>
                <w:szCs w:val="18"/>
                <w:lang w:val="en-US"/>
              </w:rPr>
              <w:t>76.5%</w:t>
            </w:r>
          </w:p>
        </w:tc>
        <w:tc>
          <w:tcPr>
            <w:tcW w:w="1295" w:type="dxa"/>
          </w:tcPr>
          <w:p w:rsidR="00E038D1" w:rsidRPr="00FB0B34" w:rsidRDefault="00E038D1" w:rsidP="00F145A9">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FB0B34">
              <w:rPr>
                <w:rFonts w:cs="Times New Roman"/>
                <w:sz w:val="18"/>
                <w:szCs w:val="18"/>
                <w:lang w:val="en-US"/>
              </w:rPr>
              <w:t>76.5%</w:t>
            </w:r>
          </w:p>
        </w:tc>
      </w:tr>
      <w:tr w:rsidR="00E038D1" w:rsidRPr="00FB0B34" w:rsidTr="008B2D2B">
        <w:tc>
          <w:tcPr>
            <w:cnfStyle w:val="001000000000" w:firstRow="0" w:lastRow="0" w:firstColumn="1" w:lastColumn="0" w:oddVBand="0" w:evenVBand="0" w:oddHBand="0" w:evenHBand="0" w:firstRowFirstColumn="0" w:firstRowLastColumn="0" w:lastRowFirstColumn="0" w:lastRowLastColumn="0"/>
            <w:tcW w:w="1294" w:type="dxa"/>
          </w:tcPr>
          <w:p w:rsidR="00E038D1" w:rsidRPr="00FB0B34" w:rsidRDefault="00E038D1" w:rsidP="00F145A9">
            <w:pPr>
              <w:spacing w:line="240" w:lineRule="auto"/>
              <w:jc w:val="both"/>
              <w:rPr>
                <w:rFonts w:cs="Times New Roman"/>
                <w:sz w:val="18"/>
                <w:szCs w:val="18"/>
                <w:lang w:val="en-US"/>
              </w:rPr>
            </w:pPr>
            <w:r w:rsidRPr="00FB0B34">
              <w:rPr>
                <w:rFonts w:cs="Times New Roman"/>
                <w:sz w:val="18"/>
                <w:szCs w:val="18"/>
                <w:lang w:val="en-US"/>
              </w:rPr>
              <w:t>Regulation</w:t>
            </w:r>
          </w:p>
        </w:tc>
        <w:tc>
          <w:tcPr>
            <w:tcW w:w="1294" w:type="dxa"/>
          </w:tcPr>
          <w:p w:rsidR="00E038D1" w:rsidRPr="00FB0B34" w:rsidRDefault="00E038D1" w:rsidP="00F145A9">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FB0B34">
              <w:rPr>
                <w:rFonts w:cs="Times New Roman"/>
                <w:sz w:val="18"/>
                <w:szCs w:val="18"/>
                <w:lang w:val="en-US"/>
              </w:rPr>
              <w:t xml:space="preserve">5.9%     </w:t>
            </w:r>
          </w:p>
        </w:tc>
        <w:tc>
          <w:tcPr>
            <w:tcW w:w="1294" w:type="dxa"/>
          </w:tcPr>
          <w:p w:rsidR="00E038D1" w:rsidRPr="00FB0B34" w:rsidRDefault="00E038D1" w:rsidP="00F145A9">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FB0B34">
              <w:rPr>
                <w:rFonts w:cs="Times New Roman"/>
                <w:sz w:val="18"/>
                <w:szCs w:val="18"/>
                <w:lang w:val="en-US"/>
              </w:rPr>
              <w:t xml:space="preserve">5.9%    </w:t>
            </w:r>
          </w:p>
        </w:tc>
        <w:tc>
          <w:tcPr>
            <w:tcW w:w="1295" w:type="dxa"/>
          </w:tcPr>
          <w:p w:rsidR="00E038D1" w:rsidRPr="00FB0B34" w:rsidRDefault="00E038D1" w:rsidP="00F145A9">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FB0B34">
              <w:rPr>
                <w:rFonts w:cs="Times New Roman"/>
                <w:sz w:val="18"/>
                <w:szCs w:val="18"/>
                <w:lang w:val="en-US"/>
              </w:rPr>
              <w:t xml:space="preserve">0.0%    </w:t>
            </w:r>
          </w:p>
        </w:tc>
        <w:tc>
          <w:tcPr>
            <w:tcW w:w="1295" w:type="dxa"/>
          </w:tcPr>
          <w:p w:rsidR="00E038D1" w:rsidRPr="00FB0B34" w:rsidRDefault="00E038D1" w:rsidP="00F145A9">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FB0B34">
              <w:rPr>
                <w:rFonts w:cs="Times New Roman"/>
                <w:sz w:val="18"/>
                <w:szCs w:val="18"/>
                <w:lang w:val="en-US"/>
              </w:rPr>
              <w:t xml:space="preserve">5.9%    </w:t>
            </w:r>
          </w:p>
        </w:tc>
        <w:tc>
          <w:tcPr>
            <w:tcW w:w="1295" w:type="dxa"/>
          </w:tcPr>
          <w:p w:rsidR="00E038D1" w:rsidRPr="00FB0B34" w:rsidRDefault="00E038D1" w:rsidP="00F145A9">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FB0B34">
              <w:rPr>
                <w:rFonts w:cs="Times New Roman"/>
                <w:sz w:val="18"/>
                <w:szCs w:val="18"/>
                <w:lang w:val="en-US"/>
              </w:rPr>
              <w:t xml:space="preserve">5.9%  </w:t>
            </w:r>
          </w:p>
        </w:tc>
        <w:tc>
          <w:tcPr>
            <w:tcW w:w="1295" w:type="dxa"/>
          </w:tcPr>
          <w:p w:rsidR="00E038D1" w:rsidRPr="00FB0B34" w:rsidRDefault="00E038D1" w:rsidP="00F145A9">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FB0B34">
              <w:rPr>
                <w:rFonts w:cs="Times New Roman"/>
                <w:sz w:val="18"/>
                <w:szCs w:val="18"/>
                <w:lang w:val="en-US"/>
              </w:rPr>
              <w:t xml:space="preserve">5.9%  </w:t>
            </w:r>
          </w:p>
        </w:tc>
      </w:tr>
      <w:tr w:rsidR="00E038D1" w:rsidRPr="00FB0B34" w:rsidTr="008B2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E038D1" w:rsidRPr="00FB0B34" w:rsidRDefault="00E038D1" w:rsidP="00F145A9">
            <w:pPr>
              <w:spacing w:line="240" w:lineRule="auto"/>
              <w:jc w:val="both"/>
              <w:rPr>
                <w:rFonts w:cs="Times New Roman"/>
                <w:sz w:val="18"/>
                <w:szCs w:val="18"/>
                <w:lang w:val="en-US"/>
              </w:rPr>
            </w:pPr>
            <w:r w:rsidRPr="00FB0B34">
              <w:rPr>
                <w:rFonts w:cs="Times New Roman"/>
                <w:sz w:val="18"/>
                <w:szCs w:val="18"/>
                <w:lang w:val="en-US"/>
              </w:rPr>
              <w:t>Support</w:t>
            </w:r>
          </w:p>
        </w:tc>
        <w:tc>
          <w:tcPr>
            <w:tcW w:w="1294" w:type="dxa"/>
          </w:tcPr>
          <w:p w:rsidR="00E038D1" w:rsidRPr="00FB0B34" w:rsidRDefault="00E038D1" w:rsidP="00F145A9">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FB0B34">
              <w:rPr>
                <w:rFonts w:cs="Times New Roman"/>
                <w:sz w:val="18"/>
                <w:szCs w:val="18"/>
                <w:lang w:val="en-US"/>
              </w:rPr>
              <w:t xml:space="preserve">11.8%    </w:t>
            </w:r>
          </w:p>
        </w:tc>
        <w:tc>
          <w:tcPr>
            <w:tcW w:w="1294" w:type="dxa"/>
          </w:tcPr>
          <w:p w:rsidR="00E038D1" w:rsidRPr="00FB0B34" w:rsidRDefault="00E038D1" w:rsidP="00F145A9">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FB0B34">
              <w:rPr>
                <w:rFonts w:cs="Times New Roman"/>
                <w:sz w:val="18"/>
                <w:szCs w:val="18"/>
                <w:lang w:val="en-US"/>
              </w:rPr>
              <w:t xml:space="preserve">29.4%   </w:t>
            </w:r>
          </w:p>
        </w:tc>
        <w:tc>
          <w:tcPr>
            <w:tcW w:w="1295" w:type="dxa"/>
          </w:tcPr>
          <w:p w:rsidR="00E038D1" w:rsidRPr="00FB0B34" w:rsidRDefault="00E038D1" w:rsidP="00F145A9">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FB0B34">
              <w:rPr>
                <w:rFonts w:cs="Times New Roman"/>
                <w:sz w:val="18"/>
                <w:szCs w:val="18"/>
                <w:lang w:val="en-US"/>
              </w:rPr>
              <w:t xml:space="preserve">27.8%   </w:t>
            </w:r>
          </w:p>
        </w:tc>
        <w:tc>
          <w:tcPr>
            <w:tcW w:w="1295" w:type="dxa"/>
          </w:tcPr>
          <w:p w:rsidR="00E038D1" w:rsidRPr="00FB0B34" w:rsidRDefault="00E038D1" w:rsidP="00F145A9">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FB0B34">
              <w:rPr>
                <w:rFonts w:cs="Times New Roman"/>
                <w:sz w:val="18"/>
                <w:szCs w:val="18"/>
                <w:lang w:val="en-US"/>
              </w:rPr>
              <w:t xml:space="preserve">17.6%   </w:t>
            </w:r>
          </w:p>
        </w:tc>
        <w:tc>
          <w:tcPr>
            <w:tcW w:w="1295" w:type="dxa"/>
          </w:tcPr>
          <w:p w:rsidR="00E038D1" w:rsidRPr="00FB0B34" w:rsidRDefault="00E038D1" w:rsidP="00F145A9">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FB0B34">
              <w:rPr>
                <w:rFonts w:cs="Times New Roman"/>
                <w:sz w:val="18"/>
                <w:szCs w:val="18"/>
                <w:lang w:val="en-US"/>
              </w:rPr>
              <w:t>17.6%</w:t>
            </w:r>
          </w:p>
        </w:tc>
        <w:tc>
          <w:tcPr>
            <w:tcW w:w="1295" w:type="dxa"/>
          </w:tcPr>
          <w:p w:rsidR="00E038D1" w:rsidRPr="00FB0B34" w:rsidRDefault="00E038D1" w:rsidP="00F145A9">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FB0B34">
              <w:rPr>
                <w:rFonts w:cs="Times New Roman"/>
                <w:sz w:val="18"/>
                <w:szCs w:val="18"/>
                <w:lang w:val="en-US"/>
              </w:rPr>
              <w:t>17.6%</w:t>
            </w:r>
          </w:p>
        </w:tc>
      </w:tr>
      <w:tr w:rsidR="00E038D1" w:rsidRPr="00FB0B34" w:rsidTr="008B2D2B">
        <w:tc>
          <w:tcPr>
            <w:cnfStyle w:val="001000000000" w:firstRow="0" w:lastRow="0" w:firstColumn="1" w:lastColumn="0" w:oddVBand="0" w:evenVBand="0" w:oddHBand="0" w:evenHBand="0" w:firstRowFirstColumn="0" w:firstRowLastColumn="0" w:lastRowFirstColumn="0" w:lastRowLastColumn="0"/>
            <w:tcW w:w="1294" w:type="dxa"/>
          </w:tcPr>
          <w:p w:rsidR="00E038D1" w:rsidRPr="00FB0B34" w:rsidRDefault="00E038D1" w:rsidP="00F145A9">
            <w:pPr>
              <w:spacing w:line="240" w:lineRule="auto"/>
              <w:jc w:val="both"/>
              <w:rPr>
                <w:rFonts w:cs="Times New Roman"/>
                <w:sz w:val="18"/>
                <w:szCs w:val="18"/>
                <w:lang w:val="en-US"/>
              </w:rPr>
            </w:pPr>
            <w:r w:rsidRPr="00FB0B34">
              <w:rPr>
                <w:rFonts w:cs="Times New Roman"/>
                <w:sz w:val="18"/>
                <w:szCs w:val="18"/>
                <w:lang w:val="en-US"/>
              </w:rPr>
              <w:t>Cultural</w:t>
            </w:r>
          </w:p>
        </w:tc>
        <w:tc>
          <w:tcPr>
            <w:tcW w:w="1294" w:type="dxa"/>
          </w:tcPr>
          <w:p w:rsidR="00E038D1" w:rsidRPr="00FB0B34" w:rsidRDefault="00E038D1" w:rsidP="00F145A9">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FB0B34">
              <w:rPr>
                <w:rFonts w:cs="Times New Roman"/>
                <w:sz w:val="18"/>
                <w:szCs w:val="18"/>
                <w:lang w:val="en-US"/>
              </w:rPr>
              <w:t xml:space="preserve">0.0%     </w:t>
            </w:r>
          </w:p>
        </w:tc>
        <w:tc>
          <w:tcPr>
            <w:tcW w:w="1294" w:type="dxa"/>
          </w:tcPr>
          <w:p w:rsidR="00E038D1" w:rsidRPr="00FB0B34" w:rsidRDefault="00E038D1" w:rsidP="00F145A9">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FB0B34">
              <w:rPr>
                <w:rFonts w:cs="Times New Roman"/>
                <w:sz w:val="18"/>
                <w:szCs w:val="18"/>
                <w:lang w:val="en-US"/>
              </w:rPr>
              <w:t xml:space="preserve">0.0%    </w:t>
            </w:r>
          </w:p>
        </w:tc>
        <w:tc>
          <w:tcPr>
            <w:tcW w:w="1295" w:type="dxa"/>
          </w:tcPr>
          <w:p w:rsidR="00E038D1" w:rsidRPr="00FB0B34" w:rsidRDefault="00E038D1" w:rsidP="00F145A9">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FB0B34">
              <w:rPr>
                <w:rFonts w:cs="Times New Roman"/>
                <w:sz w:val="18"/>
                <w:szCs w:val="18"/>
                <w:lang w:val="en-US"/>
              </w:rPr>
              <w:t xml:space="preserve">0.0%    </w:t>
            </w:r>
          </w:p>
        </w:tc>
        <w:tc>
          <w:tcPr>
            <w:tcW w:w="1295" w:type="dxa"/>
          </w:tcPr>
          <w:p w:rsidR="00E038D1" w:rsidRPr="00FB0B34" w:rsidRDefault="00E038D1" w:rsidP="00F145A9">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FB0B34">
              <w:rPr>
                <w:rFonts w:cs="Times New Roman"/>
                <w:sz w:val="18"/>
                <w:szCs w:val="18"/>
                <w:lang w:val="en-US"/>
              </w:rPr>
              <w:t xml:space="preserve">0.0%    </w:t>
            </w:r>
          </w:p>
        </w:tc>
        <w:tc>
          <w:tcPr>
            <w:tcW w:w="1295" w:type="dxa"/>
          </w:tcPr>
          <w:p w:rsidR="00E038D1" w:rsidRPr="00FB0B34" w:rsidRDefault="00E038D1" w:rsidP="00F145A9">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FB0B34">
              <w:rPr>
                <w:rFonts w:cs="Times New Roman"/>
                <w:sz w:val="18"/>
                <w:szCs w:val="18"/>
                <w:lang w:val="en-US"/>
              </w:rPr>
              <w:t xml:space="preserve">0.0%  </w:t>
            </w:r>
          </w:p>
        </w:tc>
        <w:tc>
          <w:tcPr>
            <w:tcW w:w="1295" w:type="dxa"/>
          </w:tcPr>
          <w:p w:rsidR="00E038D1" w:rsidRPr="00FB0B34" w:rsidRDefault="00E038D1" w:rsidP="00F145A9">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FB0B34">
              <w:rPr>
                <w:rFonts w:cs="Times New Roman"/>
                <w:sz w:val="18"/>
                <w:szCs w:val="18"/>
                <w:lang w:val="en-US"/>
              </w:rPr>
              <w:t xml:space="preserve">5.9%  </w:t>
            </w:r>
          </w:p>
        </w:tc>
      </w:tr>
    </w:tbl>
    <w:p w:rsidR="008B2D2B" w:rsidRDefault="008B2D2B" w:rsidP="00F145A9">
      <w:pPr>
        <w:spacing w:after="0" w:line="240" w:lineRule="auto"/>
        <w:jc w:val="both"/>
        <w:rPr>
          <w:rFonts w:cs="Times New Roman"/>
          <w:sz w:val="18"/>
          <w:szCs w:val="18"/>
        </w:rPr>
        <w:sectPr w:rsidR="008B2D2B" w:rsidSect="001A03A6">
          <w:type w:val="continuous"/>
          <w:pgSz w:w="11906" w:h="16838"/>
          <w:pgMar w:top="1417" w:right="1417" w:bottom="1417" w:left="1417" w:header="708" w:footer="680" w:gutter="0"/>
          <w:pgNumType w:fmt="numberInDash" w:start="1"/>
          <w:cols w:space="708"/>
          <w:titlePg/>
          <w:docGrid w:linePitch="360"/>
        </w:sectPr>
      </w:pPr>
    </w:p>
    <w:p w:rsidR="003A5188" w:rsidRPr="00FB0B34" w:rsidRDefault="003A5188" w:rsidP="00F145A9">
      <w:pPr>
        <w:spacing w:line="240" w:lineRule="auto"/>
        <w:jc w:val="both"/>
        <w:rPr>
          <w:rFonts w:cs="Times New Roman"/>
          <w:sz w:val="18"/>
          <w:szCs w:val="18"/>
          <w:lang w:val="en-US"/>
        </w:rPr>
      </w:pPr>
      <w:r w:rsidRPr="00FB0B34">
        <w:rPr>
          <w:rFonts w:cs="Times New Roman"/>
          <w:sz w:val="18"/>
          <w:szCs w:val="18"/>
          <w:lang w:val="en-US"/>
        </w:rPr>
        <w:t>The results show that in most villages, provisioning services were widely considered the most crucial, representing between 64.7% and 82.4% of opinions. Support services are also mentioned in several villages, ranging from 11.8% to 29.4%. In contrast, recognition of regulation services is less frequent, often cited at 5.9%. These data reveal a dominant trend towards the importance attributed to provisioning services in all villages, highlighting its predominance in the local perception of ecosystem services.</w:t>
      </w:r>
      <w:r w:rsidR="001A03A6">
        <w:rPr>
          <w:rFonts w:cs="Times New Roman"/>
          <w:sz w:val="18"/>
          <w:szCs w:val="18"/>
          <w:lang w:val="en-US"/>
        </w:rPr>
        <w:t xml:space="preserve"> (</w:t>
      </w:r>
      <w:r w:rsidR="001A03A6" w:rsidRPr="001A03A6">
        <w:rPr>
          <w:rFonts w:cs="Times New Roman"/>
          <w:b/>
          <w:sz w:val="18"/>
          <w:szCs w:val="18"/>
          <w:lang w:val="en-US"/>
        </w:rPr>
        <w:t>Table 2.</w:t>
      </w:r>
      <w:r w:rsidR="001A03A6">
        <w:rPr>
          <w:rFonts w:cs="Times New Roman"/>
          <w:sz w:val="18"/>
          <w:szCs w:val="18"/>
          <w:lang w:val="en-US"/>
        </w:rPr>
        <w:t>)</w:t>
      </w:r>
    </w:p>
    <w:p w:rsidR="008B2D2B" w:rsidRPr="001A03A6" w:rsidRDefault="001A03A6" w:rsidP="00F145A9">
      <w:pPr>
        <w:spacing w:line="240" w:lineRule="auto"/>
        <w:jc w:val="both"/>
        <w:rPr>
          <w:rFonts w:cs="Times New Roman"/>
          <w:i/>
          <w:sz w:val="18"/>
          <w:szCs w:val="18"/>
          <w:lang w:val="en-US"/>
        </w:rPr>
        <w:sectPr w:rsidR="008B2D2B" w:rsidRPr="001A03A6" w:rsidSect="001A03A6">
          <w:type w:val="continuous"/>
          <w:pgSz w:w="11906" w:h="16838"/>
          <w:pgMar w:top="1417" w:right="1417" w:bottom="1417" w:left="1417" w:header="708" w:footer="680" w:gutter="0"/>
          <w:pgNumType w:fmt="numberInDash" w:start="1"/>
          <w:cols w:space="708"/>
          <w:titlePg/>
          <w:docGrid w:linePitch="360"/>
        </w:sectPr>
      </w:pPr>
      <w:r>
        <w:rPr>
          <w:rFonts w:cs="Times New Roman"/>
          <w:i/>
          <w:sz w:val="18"/>
          <w:szCs w:val="18"/>
          <w:lang w:val="en-US"/>
        </w:rPr>
        <w:t>3.3</w:t>
      </w:r>
      <w:r w:rsidR="004B2C9E" w:rsidRPr="00FB0B34">
        <w:rPr>
          <w:rFonts w:cs="Times New Roman"/>
          <w:i/>
          <w:sz w:val="18"/>
          <w:szCs w:val="18"/>
          <w:lang w:val="en-US"/>
        </w:rPr>
        <w:t>. L</w:t>
      </w:r>
      <w:r w:rsidR="000F016A" w:rsidRPr="00FB0B34">
        <w:rPr>
          <w:rFonts w:cs="Times New Roman"/>
          <w:i/>
          <w:sz w:val="18"/>
          <w:szCs w:val="18"/>
          <w:lang w:val="en-US"/>
        </w:rPr>
        <w:t>ocal engagement in forest conservation</w:t>
      </w:r>
    </w:p>
    <w:p w:rsidR="001A03A6" w:rsidRPr="001A03A6" w:rsidRDefault="001A03A6" w:rsidP="001A03A6">
      <w:pPr>
        <w:pStyle w:val="Lgende"/>
        <w:keepNext/>
        <w:rPr>
          <w:color w:val="auto"/>
          <w:lang w:val="en-US"/>
        </w:rPr>
      </w:pPr>
      <w:r w:rsidRPr="001A03A6">
        <w:rPr>
          <w:color w:val="auto"/>
          <w:lang w:val="en-US"/>
        </w:rPr>
        <w:t>Tableau 3 Level of engagement by village</w:t>
      </w:r>
    </w:p>
    <w:tbl>
      <w:tblPr>
        <w:tblStyle w:val="Tableausimple2"/>
        <w:tblpPr w:leftFromText="141" w:rightFromText="141" w:vertAnchor="text" w:horzAnchor="margin" w:tblpY="112"/>
        <w:tblW w:w="0" w:type="auto"/>
        <w:tblLook w:val="04A0" w:firstRow="1" w:lastRow="0" w:firstColumn="1" w:lastColumn="0" w:noHBand="0" w:noVBand="1"/>
      </w:tblPr>
      <w:tblGrid>
        <w:gridCol w:w="1726"/>
        <w:gridCol w:w="1255"/>
        <w:gridCol w:w="1225"/>
        <w:gridCol w:w="1218"/>
        <w:gridCol w:w="1228"/>
        <w:gridCol w:w="1203"/>
        <w:gridCol w:w="1217"/>
      </w:tblGrid>
      <w:tr w:rsidR="001A03A6" w:rsidRPr="00FB0B34" w:rsidTr="001A0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1A03A6" w:rsidRPr="00FB0B34" w:rsidRDefault="001A03A6" w:rsidP="001A03A6">
            <w:pPr>
              <w:spacing w:line="240" w:lineRule="auto"/>
              <w:jc w:val="both"/>
              <w:rPr>
                <w:rFonts w:cs="Times New Roman"/>
                <w:sz w:val="18"/>
                <w:szCs w:val="18"/>
              </w:rPr>
            </w:pPr>
            <w:r w:rsidRPr="00FB0B34">
              <w:rPr>
                <w:rFonts w:cs="Times New Roman"/>
                <w:sz w:val="18"/>
                <w:szCs w:val="18"/>
              </w:rPr>
              <w:t>Engagement/village</w:t>
            </w:r>
          </w:p>
        </w:tc>
        <w:tc>
          <w:tcPr>
            <w:tcW w:w="1255" w:type="dxa"/>
          </w:tcPr>
          <w:p w:rsidR="001A03A6" w:rsidRPr="00FB0B34" w:rsidRDefault="001A03A6" w:rsidP="001A03A6">
            <w:pPr>
              <w:spacing w:line="240" w:lineRule="auto"/>
              <w:jc w:val="both"/>
              <w:cnfStyle w:val="100000000000" w:firstRow="1" w:lastRow="0" w:firstColumn="0" w:lastColumn="0" w:oddVBand="0" w:evenVBand="0" w:oddHBand="0" w:evenHBand="0" w:firstRowFirstColumn="0" w:firstRowLastColumn="0" w:lastRowFirstColumn="0" w:lastRowLastColumn="0"/>
              <w:rPr>
                <w:rFonts w:cs="Times New Roman"/>
                <w:sz w:val="18"/>
                <w:szCs w:val="18"/>
              </w:rPr>
            </w:pPr>
            <w:r w:rsidRPr="00FB0B34">
              <w:rPr>
                <w:rFonts w:cs="Times New Roman"/>
                <w:sz w:val="18"/>
                <w:szCs w:val="18"/>
              </w:rPr>
              <w:t>Caminunu</w:t>
            </w:r>
          </w:p>
        </w:tc>
        <w:tc>
          <w:tcPr>
            <w:tcW w:w="1225" w:type="dxa"/>
          </w:tcPr>
          <w:p w:rsidR="001A03A6" w:rsidRPr="00FB0B34" w:rsidRDefault="001A03A6" w:rsidP="001A03A6">
            <w:pPr>
              <w:spacing w:line="240" w:lineRule="auto"/>
              <w:jc w:val="both"/>
              <w:cnfStyle w:val="100000000000" w:firstRow="1" w:lastRow="0" w:firstColumn="0" w:lastColumn="0" w:oddVBand="0" w:evenVBand="0" w:oddHBand="0" w:evenHBand="0" w:firstRowFirstColumn="0" w:firstRowLastColumn="0" w:lastRowFirstColumn="0" w:lastRowLastColumn="0"/>
              <w:rPr>
                <w:rFonts w:cs="Times New Roman"/>
                <w:sz w:val="18"/>
                <w:szCs w:val="18"/>
              </w:rPr>
            </w:pPr>
            <w:r w:rsidRPr="00FB0B34">
              <w:rPr>
                <w:rFonts w:cs="Times New Roman"/>
                <w:sz w:val="18"/>
                <w:szCs w:val="18"/>
              </w:rPr>
              <w:t>Cibinda</w:t>
            </w:r>
          </w:p>
        </w:tc>
        <w:tc>
          <w:tcPr>
            <w:tcW w:w="1218" w:type="dxa"/>
          </w:tcPr>
          <w:p w:rsidR="001A03A6" w:rsidRPr="00FB0B34" w:rsidRDefault="001A03A6" w:rsidP="001A03A6">
            <w:pPr>
              <w:spacing w:line="240" w:lineRule="auto"/>
              <w:jc w:val="both"/>
              <w:cnfStyle w:val="100000000000" w:firstRow="1" w:lastRow="0" w:firstColumn="0" w:lastColumn="0" w:oddVBand="0" w:evenVBand="0" w:oddHBand="0" w:evenHBand="0" w:firstRowFirstColumn="0" w:firstRowLastColumn="0" w:lastRowFirstColumn="0" w:lastRowLastColumn="0"/>
              <w:rPr>
                <w:rFonts w:cs="Times New Roman"/>
                <w:sz w:val="18"/>
                <w:szCs w:val="18"/>
              </w:rPr>
            </w:pPr>
            <w:r w:rsidRPr="00FB0B34">
              <w:rPr>
                <w:rFonts w:cs="Times New Roman"/>
                <w:sz w:val="18"/>
                <w:szCs w:val="18"/>
              </w:rPr>
              <w:t>Cifunzi</w:t>
            </w:r>
          </w:p>
        </w:tc>
        <w:tc>
          <w:tcPr>
            <w:tcW w:w="1228" w:type="dxa"/>
          </w:tcPr>
          <w:p w:rsidR="001A03A6" w:rsidRPr="00FB0B34" w:rsidRDefault="001A03A6" w:rsidP="001A03A6">
            <w:pPr>
              <w:spacing w:line="240" w:lineRule="auto"/>
              <w:jc w:val="both"/>
              <w:cnfStyle w:val="100000000000" w:firstRow="1" w:lastRow="0" w:firstColumn="0" w:lastColumn="0" w:oddVBand="0" w:evenVBand="0" w:oddHBand="0" w:evenHBand="0" w:firstRowFirstColumn="0" w:firstRowLastColumn="0" w:lastRowFirstColumn="0" w:lastRowLastColumn="0"/>
              <w:rPr>
                <w:rFonts w:cs="Times New Roman"/>
                <w:sz w:val="18"/>
                <w:szCs w:val="18"/>
              </w:rPr>
            </w:pPr>
            <w:r w:rsidRPr="00FB0B34">
              <w:rPr>
                <w:rFonts w:cs="Times New Roman"/>
                <w:sz w:val="18"/>
                <w:szCs w:val="18"/>
              </w:rPr>
              <w:t>Fendula</w:t>
            </w:r>
          </w:p>
        </w:tc>
        <w:tc>
          <w:tcPr>
            <w:tcW w:w="1203" w:type="dxa"/>
          </w:tcPr>
          <w:p w:rsidR="001A03A6" w:rsidRPr="00FB0B34" w:rsidRDefault="001A03A6" w:rsidP="001A03A6">
            <w:pPr>
              <w:spacing w:line="240" w:lineRule="auto"/>
              <w:jc w:val="both"/>
              <w:cnfStyle w:val="100000000000" w:firstRow="1" w:lastRow="0" w:firstColumn="0" w:lastColumn="0" w:oddVBand="0" w:evenVBand="0" w:oddHBand="0" w:evenHBand="0" w:firstRowFirstColumn="0" w:firstRowLastColumn="0" w:lastRowFirstColumn="0" w:lastRowLastColumn="0"/>
              <w:rPr>
                <w:rFonts w:cs="Times New Roman"/>
                <w:sz w:val="18"/>
                <w:szCs w:val="18"/>
              </w:rPr>
            </w:pPr>
            <w:r w:rsidRPr="00FB0B34">
              <w:rPr>
                <w:rFonts w:cs="Times New Roman"/>
                <w:sz w:val="18"/>
                <w:szCs w:val="18"/>
              </w:rPr>
              <w:t>Mule</w:t>
            </w:r>
          </w:p>
        </w:tc>
        <w:tc>
          <w:tcPr>
            <w:tcW w:w="1217" w:type="dxa"/>
          </w:tcPr>
          <w:p w:rsidR="001A03A6" w:rsidRPr="00FB0B34" w:rsidRDefault="001A03A6" w:rsidP="001A03A6">
            <w:pPr>
              <w:spacing w:line="240" w:lineRule="auto"/>
              <w:jc w:val="both"/>
              <w:cnfStyle w:val="100000000000" w:firstRow="1" w:lastRow="0" w:firstColumn="0" w:lastColumn="0" w:oddVBand="0" w:evenVBand="0" w:oddHBand="0" w:evenHBand="0" w:firstRowFirstColumn="0" w:firstRowLastColumn="0" w:lastRowFirstColumn="0" w:lastRowLastColumn="0"/>
              <w:rPr>
                <w:rFonts w:cs="Times New Roman"/>
                <w:sz w:val="18"/>
                <w:szCs w:val="18"/>
              </w:rPr>
            </w:pPr>
            <w:r w:rsidRPr="00FB0B34">
              <w:rPr>
                <w:rFonts w:cs="Times New Roman"/>
                <w:sz w:val="18"/>
                <w:szCs w:val="18"/>
              </w:rPr>
              <w:t>Rambo</w:t>
            </w:r>
          </w:p>
        </w:tc>
      </w:tr>
      <w:tr w:rsidR="001A03A6" w:rsidRPr="00FB0B34" w:rsidTr="001A0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1A03A6" w:rsidRPr="00FB0B34" w:rsidRDefault="001A03A6" w:rsidP="001A03A6">
            <w:pPr>
              <w:spacing w:line="240" w:lineRule="auto"/>
              <w:jc w:val="both"/>
              <w:rPr>
                <w:rFonts w:cs="Times New Roman"/>
                <w:sz w:val="18"/>
                <w:szCs w:val="18"/>
              </w:rPr>
            </w:pPr>
            <w:r w:rsidRPr="00FB0B34">
              <w:rPr>
                <w:rFonts w:cs="Times New Roman"/>
                <w:sz w:val="18"/>
                <w:szCs w:val="18"/>
              </w:rPr>
              <w:t xml:space="preserve">Less </w:t>
            </w:r>
            <w:proofErr w:type="spellStart"/>
            <w:r w:rsidRPr="00FB0B34">
              <w:rPr>
                <w:rFonts w:cs="Times New Roman"/>
                <w:sz w:val="18"/>
                <w:szCs w:val="18"/>
              </w:rPr>
              <w:t>engaged</w:t>
            </w:r>
            <w:proofErr w:type="spellEnd"/>
          </w:p>
        </w:tc>
        <w:tc>
          <w:tcPr>
            <w:tcW w:w="1255" w:type="dxa"/>
          </w:tcPr>
          <w:p w:rsidR="001A03A6" w:rsidRPr="00FB0B34" w:rsidRDefault="001A03A6" w:rsidP="001A03A6">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FB0B34">
              <w:rPr>
                <w:rFonts w:cs="Times New Roman"/>
                <w:sz w:val="18"/>
                <w:szCs w:val="18"/>
              </w:rPr>
              <w:t xml:space="preserve">11.8%    </w:t>
            </w:r>
          </w:p>
        </w:tc>
        <w:tc>
          <w:tcPr>
            <w:tcW w:w="1225" w:type="dxa"/>
          </w:tcPr>
          <w:p w:rsidR="001A03A6" w:rsidRPr="00FB0B34" w:rsidRDefault="001A03A6" w:rsidP="001A03A6">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FB0B34">
              <w:rPr>
                <w:rFonts w:cs="Times New Roman"/>
                <w:sz w:val="18"/>
                <w:szCs w:val="18"/>
              </w:rPr>
              <w:t>0.0</w:t>
            </w:r>
          </w:p>
        </w:tc>
        <w:tc>
          <w:tcPr>
            <w:tcW w:w="1218" w:type="dxa"/>
          </w:tcPr>
          <w:p w:rsidR="001A03A6" w:rsidRPr="00FB0B34" w:rsidRDefault="001A03A6" w:rsidP="001A03A6">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FB0B34">
              <w:rPr>
                <w:rFonts w:cs="Times New Roman"/>
                <w:sz w:val="18"/>
                <w:szCs w:val="18"/>
              </w:rPr>
              <w:t>5.6</w:t>
            </w:r>
          </w:p>
        </w:tc>
        <w:tc>
          <w:tcPr>
            <w:tcW w:w="1228" w:type="dxa"/>
          </w:tcPr>
          <w:p w:rsidR="001A03A6" w:rsidRPr="00FB0B34" w:rsidRDefault="001A03A6" w:rsidP="001A03A6">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FB0B34">
              <w:rPr>
                <w:rFonts w:cs="Times New Roman"/>
                <w:sz w:val="18"/>
                <w:szCs w:val="18"/>
              </w:rPr>
              <w:t>17.6</w:t>
            </w:r>
          </w:p>
        </w:tc>
        <w:tc>
          <w:tcPr>
            <w:tcW w:w="1203" w:type="dxa"/>
          </w:tcPr>
          <w:p w:rsidR="001A03A6" w:rsidRPr="00FB0B34" w:rsidRDefault="001A03A6" w:rsidP="001A03A6">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FB0B34">
              <w:rPr>
                <w:rFonts w:cs="Times New Roman"/>
                <w:sz w:val="18"/>
                <w:szCs w:val="18"/>
              </w:rPr>
              <w:t>17.6</w:t>
            </w:r>
          </w:p>
        </w:tc>
        <w:tc>
          <w:tcPr>
            <w:tcW w:w="1217" w:type="dxa"/>
          </w:tcPr>
          <w:p w:rsidR="001A03A6" w:rsidRPr="00FB0B34" w:rsidRDefault="001A03A6" w:rsidP="001A03A6">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FB0B34">
              <w:rPr>
                <w:rFonts w:cs="Times New Roman"/>
                <w:sz w:val="18"/>
                <w:szCs w:val="18"/>
              </w:rPr>
              <w:t>11.8</w:t>
            </w:r>
          </w:p>
        </w:tc>
      </w:tr>
      <w:tr w:rsidR="001A03A6" w:rsidRPr="00FB0B34" w:rsidTr="001A03A6">
        <w:tc>
          <w:tcPr>
            <w:cnfStyle w:val="001000000000" w:firstRow="0" w:lastRow="0" w:firstColumn="1" w:lastColumn="0" w:oddVBand="0" w:evenVBand="0" w:oddHBand="0" w:evenHBand="0" w:firstRowFirstColumn="0" w:firstRowLastColumn="0" w:lastRowFirstColumn="0" w:lastRowLastColumn="0"/>
            <w:tcW w:w="1726" w:type="dxa"/>
          </w:tcPr>
          <w:p w:rsidR="001A03A6" w:rsidRPr="00FB0B34" w:rsidRDefault="001A03A6" w:rsidP="001A03A6">
            <w:pPr>
              <w:spacing w:line="240" w:lineRule="auto"/>
              <w:jc w:val="both"/>
              <w:rPr>
                <w:rFonts w:cs="Times New Roman"/>
                <w:sz w:val="18"/>
                <w:szCs w:val="18"/>
              </w:rPr>
            </w:pPr>
            <w:proofErr w:type="spellStart"/>
            <w:r w:rsidRPr="00FB0B34">
              <w:rPr>
                <w:rFonts w:cs="Times New Roman"/>
                <w:sz w:val="18"/>
                <w:szCs w:val="18"/>
              </w:rPr>
              <w:t>Very</w:t>
            </w:r>
            <w:proofErr w:type="spellEnd"/>
            <w:r w:rsidRPr="00FB0B34">
              <w:rPr>
                <w:rFonts w:cs="Times New Roman"/>
                <w:sz w:val="18"/>
                <w:szCs w:val="18"/>
              </w:rPr>
              <w:t xml:space="preserve"> </w:t>
            </w:r>
            <w:proofErr w:type="spellStart"/>
            <w:r w:rsidRPr="00FB0B34">
              <w:rPr>
                <w:rFonts w:cs="Times New Roman"/>
                <w:sz w:val="18"/>
                <w:szCs w:val="18"/>
              </w:rPr>
              <w:t>engaged</w:t>
            </w:r>
            <w:proofErr w:type="spellEnd"/>
          </w:p>
        </w:tc>
        <w:tc>
          <w:tcPr>
            <w:tcW w:w="1255" w:type="dxa"/>
          </w:tcPr>
          <w:p w:rsidR="001A03A6" w:rsidRPr="00FB0B34" w:rsidRDefault="001A03A6" w:rsidP="001A03A6">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FB0B34">
              <w:rPr>
                <w:rFonts w:cs="Times New Roman"/>
                <w:sz w:val="18"/>
                <w:szCs w:val="18"/>
              </w:rPr>
              <w:t>52.9</w:t>
            </w:r>
          </w:p>
        </w:tc>
        <w:tc>
          <w:tcPr>
            <w:tcW w:w="1225" w:type="dxa"/>
          </w:tcPr>
          <w:p w:rsidR="001A03A6" w:rsidRPr="00FB0B34" w:rsidRDefault="001A03A6" w:rsidP="001A03A6">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FB0B34">
              <w:rPr>
                <w:rFonts w:cs="Times New Roman"/>
                <w:sz w:val="18"/>
                <w:szCs w:val="18"/>
              </w:rPr>
              <w:t>41.2</w:t>
            </w:r>
          </w:p>
        </w:tc>
        <w:tc>
          <w:tcPr>
            <w:tcW w:w="1218" w:type="dxa"/>
          </w:tcPr>
          <w:p w:rsidR="001A03A6" w:rsidRPr="00FB0B34" w:rsidRDefault="001A03A6" w:rsidP="001A03A6">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FB0B34">
              <w:rPr>
                <w:rFonts w:cs="Times New Roman"/>
                <w:sz w:val="18"/>
                <w:szCs w:val="18"/>
              </w:rPr>
              <w:t xml:space="preserve">33.3%   </w:t>
            </w:r>
          </w:p>
        </w:tc>
        <w:tc>
          <w:tcPr>
            <w:tcW w:w="1228" w:type="dxa"/>
          </w:tcPr>
          <w:p w:rsidR="001A03A6" w:rsidRPr="00FB0B34" w:rsidRDefault="001A03A6" w:rsidP="001A03A6">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FB0B34">
              <w:rPr>
                <w:rFonts w:cs="Times New Roman"/>
                <w:sz w:val="18"/>
                <w:szCs w:val="18"/>
              </w:rPr>
              <w:t xml:space="preserve">23.5%   </w:t>
            </w:r>
          </w:p>
        </w:tc>
        <w:tc>
          <w:tcPr>
            <w:tcW w:w="1203" w:type="dxa"/>
          </w:tcPr>
          <w:p w:rsidR="001A03A6" w:rsidRPr="00FB0B34" w:rsidRDefault="001A03A6" w:rsidP="001A03A6">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FB0B34">
              <w:rPr>
                <w:rFonts w:cs="Times New Roman"/>
                <w:sz w:val="18"/>
                <w:szCs w:val="18"/>
              </w:rPr>
              <w:t>23.5%</w:t>
            </w:r>
          </w:p>
        </w:tc>
        <w:tc>
          <w:tcPr>
            <w:tcW w:w="1217" w:type="dxa"/>
          </w:tcPr>
          <w:p w:rsidR="001A03A6" w:rsidRPr="00FB0B34" w:rsidRDefault="001A03A6" w:rsidP="001A03A6">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FB0B34">
              <w:rPr>
                <w:rFonts w:cs="Times New Roman"/>
                <w:sz w:val="18"/>
                <w:szCs w:val="18"/>
              </w:rPr>
              <w:t>23.5%</w:t>
            </w:r>
          </w:p>
        </w:tc>
      </w:tr>
      <w:tr w:rsidR="001A03A6" w:rsidRPr="00FB0B34" w:rsidTr="001A0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1A03A6" w:rsidRPr="00FB0B34" w:rsidRDefault="001A03A6" w:rsidP="001A03A6">
            <w:pPr>
              <w:spacing w:line="240" w:lineRule="auto"/>
              <w:jc w:val="both"/>
              <w:rPr>
                <w:rFonts w:cs="Times New Roman"/>
                <w:sz w:val="18"/>
                <w:szCs w:val="18"/>
              </w:rPr>
            </w:pPr>
            <w:r w:rsidRPr="00FB0B34">
              <w:rPr>
                <w:rFonts w:cs="Times New Roman"/>
                <w:sz w:val="18"/>
                <w:szCs w:val="18"/>
              </w:rPr>
              <w:t xml:space="preserve">± </w:t>
            </w:r>
            <w:proofErr w:type="spellStart"/>
            <w:r w:rsidRPr="00FB0B34">
              <w:rPr>
                <w:rFonts w:cs="Times New Roman"/>
                <w:sz w:val="18"/>
                <w:szCs w:val="18"/>
              </w:rPr>
              <w:t>Engaged</w:t>
            </w:r>
            <w:proofErr w:type="spellEnd"/>
            <w:r w:rsidRPr="00FB0B34">
              <w:rPr>
                <w:rFonts w:cs="Times New Roman"/>
                <w:sz w:val="18"/>
                <w:szCs w:val="18"/>
              </w:rPr>
              <w:t xml:space="preserve">          </w:t>
            </w:r>
          </w:p>
        </w:tc>
        <w:tc>
          <w:tcPr>
            <w:tcW w:w="1255" w:type="dxa"/>
          </w:tcPr>
          <w:p w:rsidR="001A03A6" w:rsidRPr="00FB0B34" w:rsidRDefault="001A03A6" w:rsidP="001A03A6">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FB0B34">
              <w:rPr>
                <w:rFonts w:cs="Times New Roman"/>
                <w:sz w:val="18"/>
                <w:szCs w:val="18"/>
              </w:rPr>
              <w:t xml:space="preserve">35.3%    </w:t>
            </w:r>
          </w:p>
        </w:tc>
        <w:tc>
          <w:tcPr>
            <w:tcW w:w="1225" w:type="dxa"/>
          </w:tcPr>
          <w:p w:rsidR="001A03A6" w:rsidRPr="00FB0B34" w:rsidRDefault="001A03A6" w:rsidP="001A03A6">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FB0B34">
              <w:rPr>
                <w:rFonts w:cs="Times New Roman"/>
                <w:sz w:val="18"/>
                <w:szCs w:val="18"/>
              </w:rPr>
              <w:t xml:space="preserve">58.8%   </w:t>
            </w:r>
          </w:p>
        </w:tc>
        <w:tc>
          <w:tcPr>
            <w:tcW w:w="1218" w:type="dxa"/>
          </w:tcPr>
          <w:p w:rsidR="001A03A6" w:rsidRPr="00FB0B34" w:rsidRDefault="001A03A6" w:rsidP="001A03A6">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FB0B34">
              <w:rPr>
                <w:rFonts w:cs="Times New Roman"/>
                <w:sz w:val="18"/>
                <w:szCs w:val="18"/>
              </w:rPr>
              <w:t xml:space="preserve">61.1%   </w:t>
            </w:r>
          </w:p>
        </w:tc>
        <w:tc>
          <w:tcPr>
            <w:tcW w:w="1228" w:type="dxa"/>
          </w:tcPr>
          <w:p w:rsidR="001A03A6" w:rsidRPr="00FB0B34" w:rsidRDefault="001A03A6" w:rsidP="001A03A6">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FB0B34">
              <w:rPr>
                <w:rFonts w:cs="Times New Roman"/>
                <w:sz w:val="18"/>
                <w:szCs w:val="18"/>
              </w:rPr>
              <w:t>76.5%</w:t>
            </w:r>
          </w:p>
        </w:tc>
        <w:tc>
          <w:tcPr>
            <w:tcW w:w="1203" w:type="dxa"/>
          </w:tcPr>
          <w:p w:rsidR="001A03A6" w:rsidRPr="00FB0B34" w:rsidRDefault="001A03A6" w:rsidP="001A03A6">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FB0B34">
              <w:rPr>
                <w:rFonts w:cs="Times New Roman"/>
                <w:sz w:val="18"/>
                <w:szCs w:val="18"/>
              </w:rPr>
              <w:t>58.8%</w:t>
            </w:r>
          </w:p>
        </w:tc>
        <w:tc>
          <w:tcPr>
            <w:tcW w:w="1217" w:type="dxa"/>
          </w:tcPr>
          <w:p w:rsidR="001A03A6" w:rsidRPr="00FB0B34" w:rsidRDefault="001A03A6" w:rsidP="001A03A6">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FB0B34">
              <w:rPr>
                <w:rFonts w:cs="Times New Roman"/>
                <w:sz w:val="18"/>
                <w:szCs w:val="18"/>
              </w:rPr>
              <w:t>64.7%</w:t>
            </w:r>
          </w:p>
        </w:tc>
      </w:tr>
    </w:tbl>
    <w:p w:rsidR="000C314D" w:rsidRPr="001A03A6" w:rsidRDefault="000C314D" w:rsidP="001A03A6">
      <w:pPr>
        <w:rPr>
          <w:rFonts w:cs="Times New Roman"/>
          <w:sz w:val="18"/>
          <w:szCs w:val="18"/>
          <w:lang w:val="en-US"/>
        </w:rPr>
        <w:sectPr w:rsidR="000C314D" w:rsidRPr="001A03A6" w:rsidSect="001A03A6">
          <w:type w:val="continuous"/>
          <w:pgSz w:w="11906" w:h="16838"/>
          <w:pgMar w:top="1417" w:right="1417" w:bottom="1417" w:left="1417" w:header="708" w:footer="680" w:gutter="0"/>
          <w:pgNumType w:fmt="numberInDash" w:start="1"/>
          <w:cols w:space="708"/>
          <w:titlePg/>
          <w:docGrid w:linePitch="360"/>
        </w:sectPr>
      </w:pPr>
    </w:p>
    <w:p w:rsidR="008B2D2B" w:rsidRDefault="008B2D2B" w:rsidP="00F145A9">
      <w:pPr>
        <w:spacing w:line="240" w:lineRule="auto"/>
        <w:jc w:val="both"/>
        <w:rPr>
          <w:rFonts w:cs="Times New Roman"/>
          <w:sz w:val="18"/>
          <w:szCs w:val="18"/>
        </w:rPr>
        <w:sectPr w:rsidR="008B2D2B" w:rsidSect="001A03A6">
          <w:type w:val="continuous"/>
          <w:pgSz w:w="11906" w:h="16838"/>
          <w:pgMar w:top="1417" w:right="1417" w:bottom="1417" w:left="1417" w:header="708" w:footer="680" w:gutter="0"/>
          <w:pgNumType w:fmt="numberInDash" w:start="1"/>
          <w:cols w:space="708"/>
          <w:titlePg/>
          <w:docGrid w:linePitch="360"/>
        </w:sectPr>
      </w:pPr>
    </w:p>
    <w:p w:rsidR="001A03A6" w:rsidRDefault="00A30C76" w:rsidP="00F145A9">
      <w:pPr>
        <w:spacing w:line="240" w:lineRule="auto"/>
        <w:jc w:val="both"/>
        <w:rPr>
          <w:rFonts w:cs="Times New Roman"/>
          <w:i/>
          <w:sz w:val="18"/>
          <w:szCs w:val="18"/>
          <w:lang w:val="en-US"/>
        </w:rPr>
      </w:pPr>
      <w:r w:rsidRPr="00FB0B34">
        <w:rPr>
          <w:rFonts w:cs="Times New Roman"/>
          <w:sz w:val="18"/>
          <w:szCs w:val="18"/>
          <w:lang w:val="en-US"/>
        </w:rPr>
        <w:t xml:space="preserve">The engagement levels of respondents across villages vary significantly. In </w:t>
      </w:r>
      <w:proofErr w:type="spellStart"/>
      <w:r w:rsidRPr="00FB0B34">
        <w:rPr>
          <w:rFonts w:cs="Times New Roman"/>
          <w:sz w:val="18"/>
          <w:szCs w:val="18"/>
          <w:lang w:val="en-US"/>
        </w:rPr>
        <w:t>Caminunu</w:t>
      </w:r>
      <w:proofErr w:type="spellEnd"/>
      <w:r w:rsidRPr="00FB0B34">
        <w:rPr>
          <w:rFonts w:cs="Times New Roman"/>
          <w:sz w:val="18"/>
          <w:szCs w:val="18"/>
          <w:lang w:val="en-US"/>
        </w:rPr>
        <w:t xml:space="preserve">, </w:t>
      </w:r>
      <w:proofErr w:type="spellStart"/>
      <w:r w:rsidRPr="00FB0B34">
        <w:rPr>
          <w:rFonts w:cs="Times New Roman"/>
          <w:sz w:val="18"/>
          <w:szCs w:val="18"/>
          <w:lang w:val="en-US"/>
        </w:rPr>
        <w:t>Cibinda</w:t>
      </w:r>
      <w:proofErr w:type="spellEnd"/>
      <w:r w:rsidRPr="00FB0B34">
        <w:rPr>
          <w:rFonts w:cs="Times New Roman"/>
          <w:sz w:val="18"/>
          <w:szCs w:val="18"/>
          <w:lang w:val="en-US"/>
        </w:rPr>
        <w:t xml:space="preserve">, and Rambo, a notable portion are less engaged (ranging from 0% to 17.6%), whereas in </w:t>
      </w:r>
      <w:proofErr w:type="spellStart"/>
      <w:r w:rsidRPr="00FB0B34">
        <w:rPr>
          <w:rFonts w:cs="Times New Roman"/>
          <w:sz w:val="18"/>
          <w:szCs w:val="18"/>
          <w:lang w:val="en-US"/>
        </w:rPr>
        <w:t>Fendula</w:t>
      </w:r>
      <w:proofErr w:type="spellEnd"/>
      <w:r w:rsidRPr="00FB0B34">
        <w:rPr>
          <w:rFonts w:cs="Times New Roman"/>
          <w:sz w:val="18"/>
          <w:szCs w:val="18"/>
          <w:lang w:val="en-US"/>
        </w:rPr>
        <w:t xml:space="preserve"> and Mule, this category constitutes 17.6%. Conversely, a substantial proportion </w:t>
      </w:r>
      <w:r w:rsidR="00314962" w:rsidRPr="00FB0B34">
        <w:rPr>
          <w:rFonts w:cs="Times New Roman"/>
          <w:sz w:val="18"/>
          <w:szCs w:val="18"/>
          <w:lang w:val="en-US"/>
        </w:rPr>
        <w:t>of</w:t>
      </w:r>
      <w:r w:rsidRPr="00FB0B34">
        <w:rPr>
          <w:rFonts w:cs="Times New Roman"/>
          <w:sz w:val="18"/>
          <w:szCs w:val="18"/>
          <w:lang w:val="en-US"/>
        </w:rPr>
        <w:t xml:space="preserve"> all villages are very engaged (ranging from 23.5% to 52.9%). The remaining respondents fall within the ± engaged category, with percentages varying between villages (ranging from 35.3% to 76.5%). These findings suggest differing community involvement</w:t>
      </w:r>
      <w:r w:rsidR="006E5C2F">
        <w:rPr>
          <w:rFonts w:cs="Times New Roman"/>
          <w:sz w:val="18"/>
          <w:szCs w:val="18"/>
          <w:lang w:val="en-US"/>
        </w:rPr>
        <w:t xml:space="preserve"> and interest in fore</w:t>
      </w:r>
      <w:r w:rsidR="001A03A6">
        <w:rPr>
          <w:rFonts w:cs="Times New Roman"/>
          <w:sz w:val="18"/>
          <w:szCs w:val="18"/>
          <w:lang w:val="en-US"/>
        </w:rPr>
        <w:t>st.</w:t>
      </w:r>
      <w:r w:rsidR="001A03A6" w:rsidRPr="001A03A6">
        <w:rPr>
          <w:rFonts w:cs="Times New Roman"/>
          <w:i/>
          <w:sz w:val="18"/>
          <w:szCs w:val="18"/>
          <w:lang w:val="en-US"/>
        </w:rPr>
        <w:t xml:space="preserve"> </w:t>
      </w:r>
    </w:p>
    <w:p w:rsidR="001A03A6" w:rsidRPr="001A03A6" w:rsidRDefault="001A03A6" w:rsidP="00F145A9">
      <w:pPr>
        <w:spacing w:line="240" w:lineRule="auto"/>
        <w:jc w:val="both"/>
        <w:rPr>
          <w:rFonts w:cs="Times New Roman"/>
          <w:i/>
          <w:sz w:val="18"/>
          <w:szCs w:val="18"/>
          <w:lang w:val="en-US"/>
        </w:rPr>
      </w:pPr>
      <w:r w:rsidRPr="001A03A6">
        <w:rPr>
          <w:rFonts w:cs="Times New Roman"/>
          <w:i/>
          <w:sz w:val="18"/>
          <w:szCs w:val="18"/>
          <w:lang w:val="en-US"/>
        </w:rPr>
        <w:t xml:space="preserve">3.4. </w:t>
      </w:r>
      <w:proofErr w:type="spellStart"/>
      <w:r w:rsidRPr="001A03A6">
        <w:rPr>
          <w:rFonts w:cs="Times New Roman"/>
          <w:i/>
          <w:sz w:val="18"/>
          <w:szCs w:val="18"/>
          <w:lang w:val="en-US"/>
        </w:rPr>
        <w:t>Willingess</w:t>
      </w:r>
      <w:proofErr w:type="spellEnd"/>
      <w:r w:rsidRPr="001A03A6">
        <w:rPr>
          <w:rFonts w:cs="Times New Roman"/>
          <w:i/>
          <w:sz w:val="18"/>
          <w:szCs w:val="18"/>
          <w:lang w:val="en-US"/>
        </w:rPr>
        <w:t xml:space="preserve"> to pay by village</w:t>
      </w:r>
      <w:r>
        <w:rPr>
          <w:rFonts w:cs="Times New Roman"/>
          <w:i/>
          <w:sz w:val="18"/>
          <w:szCs w:val="18"/>
          <w:lang w:val="en-US"/>
        </w:rPr>
        <w:t xml:space="preserve"> (Cost-based </w:t>
      </w:r>
      <w:proofErr w:type="spellStart"/>
      <w:r>
        <w:rPr>
          <w:rFonts w:cs="Times New Roman"/>
          <w:i/>
          <w:sz w:val="18"/>
          <w:szCs w:val="18"/>
          <w:lang w:val="en-US"/>
        </w:rPr>
        <w:t>approch</w:t>
      </w:r>
      <w:proofErr w:type="spellEnd"/>
      <w:r>
        <w:rPr>
          <w:rFonts w:cs="Times New Roman"/>
          <w:i/>
          <w:sz w:val="18"/>
          <w:szCs w:val="18"/>
          <w:lang w:val="en-US"/>
        </w:rPr>
        <w:t>)</w:t>
      </w:r>
    </w:p>
    <w:p w:rsidR="001A03A6" w:rsidRPr="001A03A6" w:rsidRDefault="001A03A6" w:rsidP="001A03A6">
      <w:pPr>
        <w:pStyle w:val="Lgende"/>
        <w:keepNext/>
        <w:rPr>
          <w:color w:val="auto"/>
        </w:rPr>
      </w:pPr>
      <w:r w:rsidRPr="001A03A6">
        <w:rPr>
          <w:color w:val="auto"/>
        </w:rPr>
        <w:t xml:space="preserve">Tableau </w:t>
      </w:r>
      <w:r>
        <w:rPr>
          <w:color w:val="auto"/>
        </w:rPr>
        <w:t>4</w:t>
      </w:r>
      <w:r w:rsidRPr="001A03A6">
        <w:rPr>
          <w:color w:val="auto"/>
        </w:rPr>
        <w:t xml:space="preserve"> </w:t>
      </w:r>
      <w:proofErr w:type="spellStart"/>
      <w:r w:rsidRPr="001A03A6">
        <w:rPr>
          <w:color w:val="auto"/>
        </w:rPr>
        <w:t>Willingness</w:t>
      </w:r>
      <w:proofErr w:type="spellEnd"/>
      <w:r w:rsidRPr="001A03A6">
        <w:rPr>
          <w:color w:val="auto"/>
        </w:rPr>
        <w:t xml:space="preserve"> to </w:t>
      </w:r>
      <w:proofErr w:type="spellStart"/>
      <w:r w:rsidRPr="001A03A6">
        <w:rPr>
          <w:color w:val="auto"/>
        </w:rPr>
        <w:t>pay</w:t>
      </w:r>
      <w:proofErr w:type="spellEnd"/>
    </w:p>
    <w:tbl>
      <w:tblPr>
        <w:tblStyle w:val="Tableausimple2"/>
        <w:tblW w:w="0" w:type="auto"/>
        <w:tblLook w:val="04A0" w:firstRow="1" w:lastRow="0" w:firstColumn="1" w:lastColumn="0" w:noHBand="0" w:noVBand="1"/>
      </w:tblPr>
      <w:tblGrid>
        <w:gridCol w:w="1812"/>
        <w:gridCol w:w="1812"/>
        <w:gridCol w:w="1813"/>
        <w:gridCol w:w="1813"/>
      </w:tblGrid>
      <w:tr w:rsidR="001A03A6" w:rsidRPr="008C1192" w:rsidTr="00524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1A03A6" w:rsidRPr="008C1192" w:rsidRDefault="001A03A6" w:rsidP="00524A9A">
            <w:pPr>
              <w:spacing w:after="0" w:line="240" w:lineRule="auto"/>
              <w:rPr>
                <w:rFonts w:eastAsia="Times New Roman" w:cs="Times New Roman"/>
                <w:vanish/>
                <w:sz w:val="18"/>
                <w:szCs w:val="18"/>
                <w:lang w:eastAsia="fr-FR"/>
              </w:rPr>
            </w:pPr>
            <w:r w:rsidRPr="0068754A">
              <w:rPr>
                <w:rFonts w:eastAsia="Times New Roman" w:cs="Times New Roman"/>
                <w:sz w:val="18"/>
                <w:szCs w:val="18"/>
                <w:lang w:eastAsia="fr-FR"/>
              </w:rPr>
              <w:t>0.00 (</w:t>
            </w:r>
            <w:proofErr w:type="spellStart"/>
            <w:r w:rsidRPr="0068754A">
              <w:rPr>
                <w:rFonts w:eastAsia="Times New Roman" w:cs="Times New Roman"/>
                <w:sz w:val="18"/>
                <w:szCs w:val="18"/>
                <w:lang w:eastAsia="fr-FR"/>
              </w:rPr>
              <w:t>Freq</w:t>
            </w:r>
            <w:proofErr w:type="spellEnd"/>
            <w:r w:rsidRPr="0068754A">
              <w:rPr>
                <w:rFonts w:eastAsia="Times New Roman" w:cs="Times New Roman"/>
                <w:sz w:val="18"/>
                <w:szCs w:val="18"/>
                <w:lang w:eastAsia="fr-FR"/>
              </w:rPr>
              <w:t>, %)</w:t>
            </w:r>
          </w:p>
        </w:tc>
        <w:tc>
          <w:tcPr>
            <w:tcW w:w="1812" w:type="dxa"/>
          </w:tcPr>
          <w:p w:rsidR="001A03A6" w:rsidRPr="008C1192" w:rsidRDefault="001A03A6" w:rsidP="00524A9A">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vanish/>
                <w:sz w:val="18"/>
                <w:szCs w:val="18"/>
                <w:lang w:eastAsia="fr-FR"/>
              </w:rPr>
            </w:pPr>
            <w:r w:rsidRPr="0068754A">
              <w:rPr>
                <w:rFonts w:eastAsia="Times New Roman" w:cs="Times New Roman"/>
                <w:sz w:val="18"/>
                <w:szCs w:val="18"/>
                <w:lang w:eastAsia="fr-FR"/>
              </w:rPr>
              <w:t>0.25 (</w:t>
            </w:r>
            <w:proofErr w:type="spellStart"/>
            <w:r w:rsidRPr="0068754A">
              <w:rPr>
                <w:rFonts w:eastAsia="Times New Roman" w:cs="Times New Roman"/>
                <w:sz w:val="18"/>
                <w:szCs w:val="18"/>
                <w:lang w:eastAsia="fr-FR"/>
              </w:rPr>
              <w:t>Freq</w:t>
            </w:r>
            <w:proofErr w:type="spellEnd"/>
            <w:r w:rsidRPr="0068754A">
              <w:rPr>
                <w:rFonts w:eastAsia="Times New Roman" w:cs="Times New Roman"/>
                <w:sz w:val="18"/>
                <w:szCs w:val="18"/>
                <w:lang w:eastAsia="fr-FR"/>
              </w:rPr>
              <w:t>, %)</w:t>
            </w:r>
          </w:p>
        </w:tc>
        <w:tc>
          <w:tcPr>
            <w:tcW w:w="1813" w:type="dxa"/>
          </w:tcPr>
          <w:p w:rsidR="001A03A6" w:rsidRPr="008C1192" w:rsidRDefault="001A03A6" w:rsidP="00524A9A">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vanish/>
                <w:sz w:val="18"/>
                <w:szCs w:val="18"/>
                <w:lang w:eastAsia="fr-FR"/>
              </w:rPr>
            </w:pPr>
            <w:r w:rsidRPr="0068754A">
              <w:rPr>
                <w:rFonts w:eastAsia="Times New Roman" w:cs="Times New Roman"/>
                <w:sz w:val="18"/>
                <w:szCs w:val="18"/>
                <w:lang w:eastAsia="fr-FR"/>
              </w:rPr>
              <w:t>0.50 (</w:t>
            </w:r>
            <w:proofErr w:type="spellStart"/>
            <w:r w:rsidRPr="0068754A">
              <w:rPr>
                <w:rFonts w:eastAsia="Times New Roman" w:cs="Times New Roman"/>
                <w:sz w:val="18"/>
                <w:szCs w:val="18"/>
                <w:lang w:eastAsia="fr-FR"/>
              </w:rPr>
              <w:t>Freq</w:t>
            </w:r>
            <w:proofErr w:type="spellEnd"/>
            <w:r w:rsidRPr="0068754A">
              <w:rPr>
                <w:rFonts w:eastAsia="Times New Roman" w:cs="Times New Roman"/>
                <w:sz w:val="18"/>
                <w:szCs w:val="18"/>
                <w:lang w:eastAsia="fr-FR"/>
              </w:rPr>
              <w:t>, %)</w:t>
            </w:r>
          </w:p>
        </w:tc>
        <w:tc>
          <w:tcPr>
            <w:tcW w:w="1813" w:type="dxa"/>
          </w:tcPr>
          <w:p w:rsidR="001A03A6" w:rsidRPr="008C1192" w:rsidRDefault="001A03A6" w:rsidP="00524A9A">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vanish/>
                <w:sz w:val="18"/>
                <w:szCs w:val="18"/>
                <w:lang w:eastAsia="fr-FR"/>
              </w:rPr>
            </w:pPr>
            <w:r w:rsidRPr="0068754A">
              <w:rPr>
                <w:rFonts w:eastAsia="Times New Roman" w:cs="Times New Roman"/>
                <w:sz w:val="18"/>
                <w:szCs w:val="18"/>
                <w:lang w:eastAsia="fr-FR"/>
              </w:rPr>
              <w:t>0.70 (</w:t>
            </w:r>
            <w:proofErr w:type="spellStart"/>
            <w:r w:rsidRPr="0068754A">
              <w:rPr>
                <w:rFonts w:eastAsia="Times New Roman" w:cs="Times New Roman"/>
                <w:sz w:val="18"/>
                <w:szCs w:val="18"/>
                <w:lang w:eastAsia="fr-FR"/>
              </w:rPr>
              <w:t>Freq</w:t>
            </w:r>
            <w:proofErr w:type="spellEnd"/>
            <w:r w:rsidRPr="0068754A">
              <w:rPr>
                <w:rFonts w:eastAsia="Times New Roman" w:cs="Times New Roman"/>
                <w:sz w:val="18"/>
                <w:szCs w:val="18"/>
                <w:lang w:eastAsia="fr-FR"/>
              </w:rPr>
              <w:t>, %)</w:t>
            </w:r>
          </w:p>
        </w:tc>
      </w:tr>
      <w:tr w:rsidR="001A03A6" w:rsidRPr="008C1192" w:rsidTr="00524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1A03A6" w:rsidRPr="008C1192" w:rsidRDefault="001A03A6" w:rsidP="00524A9A">
            <w:pPr>
              <w:spacing w:after="0" w:line="240" w:lineRule="auto"/>
              <w:rPr>
                <w:rFonts w:eastAsia="Times New Roman" w:cs="Times New Roman"/>
                <w:vanish/>
                <w:sz w:val="18"/>
                <w:szCs w:val="18"/>
                <w:lang w:eastAsia="fr-FR"/>
              </w:rPr>
            </w:pPr>
            <w:r w:rsidRPr="0068754A">
              <w:rPr>
                <w:rFonts w:eastAsia="Times New Roman" w:cs="Times New Roman"/>
                <w:sz w:val="18"/>
                <w:szCs w:val="18"/>
                <w:lang w:eastAsia="fr-FR"/>
              </w:rPr>
              <w:t>2, 11.8%</w:t>
            </w:r>
          </w:p>
        </w:tc>
        <w:tc>
          <w:tcPr>
            <w:tcW w:w="1812" w:type="dxa"/>
          </w:tcPr>
          <w:p w:rsidR="001A03A6" w:rsidRPr="008C1192" w:rsidRDefault="001A03A6" w:rsidP="00524A9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vanish/>
                <w:sz w:val="18"/>
                <w:szCs w:val="18"/>
                <w:lang w:eastAsia="fr-FR"/>
              </w:rPr>
            </w:pPr>
            <w:r w:rsidRPr="0068754A">
              <w:rPr>
                <w:rFonts w:eastAsia="Times New Roman" w:cs="Times New Roman"/>
                <w:sz w:val="18"/>
                <w:szCs w:val="18"/>
                <w:lang w:eastAsia="fr-FR"/>
              </w:rPr>
              <w:t>7, 41.2%</w:t>
            </w:r>
          </w:p>
        </w:tc>
        <w:tc>
          <w:tcPr>
            <w:tcW w:w="1813" w:type="dxa"/>
          </w:tcPr>
          <w:p w:rsidR="001A03A6" w:rsidRPr="008C1192" w:rsidRDefault="001A03A6" w:rsidP="00524A9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vanish/>
                <w:sz w:val="18"/>
                <w:szCs w:val="18"/>
                <w:lang w:eastAsia="fr-FR"/>
              </w:rPr>
            </w:pPr>
            <w:r w:rsidRPr="0068754A">
              <w:rPr>
                <w:rFonts w:eastAsia="Times New Roman" w:cs="Times New Roman"/>
                <w:sz w:val="18"/>
                <w:szCs w:val="18"/>
                <w:lang w:eastAsia="fr-FR"/>
              </w:rPr>
              <w:t>6, 35.3%</w:t>
            </w:r>
          </w:p>
        </w:tc>
        <w:tc>
          <w:tcPr>
            <w:tcW w:w="1813" w:type="dxa"/>
          </w:tcPr>
          <w:p w:rsidR="001A03A6" w:rsidRPr="008C1192" w:rsidRDefault="001A03A6" w:rsidP="00524A9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vanish/>
                <w:sz w:val="18"/>
                <w:szCs w:val="18"/>
                <w:lang w:eastAsia="fr-FR"/>
              </w:rPr>
            </w:pPr>
            <w:r w:rsidRPr="0068754A">
              <w:rPr>
                <w:rFonts w:eastAsia="Times New Roman" w:cs="Times New Roman"/>
                <w:sz w:val="18"/>
                <w:szCs w:val="18"/>
                <w:lang w:eastAsia="fr-FR"/>
              </w:rPr>
              <w:t>2, 11.8%</w:t>
            </w:r>
          </w:p>
        </w:tc>
      </w:tr>
      <w:tr w:rsidR="001A03A6" w:rsidRPr="008C1192" w:rsidTr="00524A9A">
        <w:tc>
          <w:tcPr>
            <w:cnfStyle w:val="001000000000" w:firstRow="0" w:lastRow="0" w:firstColumn="1" w:lastColumn="0" w:oddVBand="0" w:evenVBand="0" w:oddHBand="0" w:evenHBand="0" w:firstRowFirstColumn="0" w:firstRowLastColumn="0" w:lastRowFirstColumn="0" w:lastRowLastColumn="0"/>
            <w:tcW w:w="1812" w:type="dxa"/>
          </w:tcPr>
          <w:p w:rsidR="001A03A6" w:rsidRPr="008C1192" w:rsidRDefault="001A03A6" w:rsidP="00524A9A">
            <w:pPr>
              <w:spacing w:after="0" w:line="240" w:lineRule="auto"/>
              <w:rPr>
                <w:rFonts w:eastAsia="Times New Roman" w:cs="Times New Roman"/>
                <w:vanish/>
                <w:sz w:val="18"/>
                <w:szCs w:val="18"/>
                <w:lang w:eastAsia="fr-FR"/>
              </w:rPr>
            </w:pPr>
            <w:r w:rsidRPr="0068754A">
              <w:rPr>
                <w:rFonts w:eastAsia="Times New Roman" w:cs="Times New Roman"/>
                <w:sz w:val="18"/>
                <w:szCs w:val="18"/>
                <w:lang w:eastAsia="fr-FR"/>
              </w:rPr>
              <w:t>1, 5.9%</w:t>
            </w:r>
          </w:p>
        </w:tc>
        <w:tc>
          <w:tcPr>
            <w:tcW w:w="1812" w:type="dxa"/>
          </w:tcPr>
          <w:p w:rsidR="001A03A6" w:rsidRPr="008C1192" w:rsidRDefault="001A03A6" w:rsidP="00524A9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vanish/>
                <w:sz w:val="18"/>
                <w:szCs w:val="18"/>
                <w:lang w:eastAsia="fr-FR"/>
              </w:rPr>
            </w:pPr>
            <w:r w:rsidRPr="0068754A">
              <w:rPr>
                <w:rFonts w:eastAsia="Times New Roman" w:cs="Times New Roman"/>
                <w:sz w:val="18"/>
                <w:szCs w:val="18"/>
                <w:lang w:eastAsia="fr-FR"/>
              </w:rPr>
              <w:t>4, 23.5%</w:t>
            </w:r>
          </w:p>
        </w:tc>
        <w:tc>
          <w:tcPr>
            <w:tcW w:w="1813" w:type="dxa"/>
          </w:tcPr>
          <w:p w:rsidR="001A03A6" w:rsidRPr="008C1192" w:rsidRDefault="001A03A6" w:rsidP="00524A9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vanish/>
                <w:sz w:val="18"/>
                <w:szCs w:val="18"/>
                <w:lang w:eastAsia="fr-FR"/>
              </w:rPr>
            </w:pPr>
            <w:r w:rsidRPr="0068754A">
              <w:rPr>
                <w:rFonts w:eastAsia="Times New Roman" w:cs="Times New Roman"/>
                <w:sz w:val="18"/>
                <w:szCs w:val="18"/>
                <w:lang w:eastAsia="fr-FR"/>
              </w:rPr>
              <w:t>11, 64.7%</w:t>
            </w:r>
          </w:p>
        </w:tc>
        <w:tc>
          <w:tcPr>
            <w:tcW w:w="1813" w:type="dxa"/>
          </w:tcPr>
          <w:p w:rsidR="001A03A6" w:rsidRPr="008C1192" w:rsidRDefault="001A03A6" w:rsidP="00524A9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vanish/>
                <w:sz w:val="18"/>
                <w:szCs w:val="18"/>
                <w:lang w:eastAsia="fr-FR"/>
              </w:rPr>
            </w:pPr>
            <w:r w:rsidRPr="0068754A">
              <w:rPr>
                <w:rFonts w:eastAsia="Times New Roman" w:cs="Times New Roman"/>
                <w:sz w:val="18"/>
                <w:szCs w:val="18"/>
                <w:lang w:eastAsia="fr-FR"/>
              </w:rPr>
              <w:t>1, 5.9%</w:t>
            </w:r>
          </w:p>
        </w:tc>
      </w:tr>
      <w:tr w:rsidR="001A03A6" w:rsidRPr="008C1192" w:rsidTr="00524A9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12" w:type="dxa"/>
          </w:tcPr>
          <w:p w:rsidR="001A03A6" w:rsidRPr="008C1192" w:rsidRDefault="001A03A6" w:rsidP="00524A9A">
            <w:pPr>
              <w:spacing w:after="0" w:line="240" w:lineRule="auto"/>
              <w:rPr>
                <w:rFonts w:eastAsia="Times New Roman" w:cs="Times New Roman"/>
                <w:vanish/>
                <w:sz w:val="18"/>
                <w:szCs w:val="18"/>
                <w:lang w:eastAsia="fr-FR"/>
              </w:rPr>
            </w:pPr>
            <w:r w:rsidRPr="0068754A">
              <w:rPr>
                <w:rFonts w:eastAsia="Times New Roman" w:cs="Times New Roman"/>
                <w:sz w:val="18"/>
                <w:szCs w:val="18"/>
                <w:lang w:eastAsia="fr-FR"/>
              </w:rPr>
              <w:t>2, 11.1%</w:t>
            </w:r>
          </w:p>
        </w:tc>
        <w:tc>
          <w:tcPr>
            <w:tcW w:w="1812" w:type="dxa"/>
          </w:tcPr>
          <w:p w:rsidR="001A03A6" w:rsidRPr="008C1192" w:rsidRDefault="001A03A6" w:rsidP="00524A9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fr-FR"/>
              </w:rPr>
            </w:pPr>
            <w:r w:rsidRPr="0068754A">
              <w:rPr>
                <w:rFonts w:eastAsia="Times New Roman" w:cs="Times New Roman"/>
                <w:sz w:val="18"/>
                <w:szCs w:val="18"/>
                <w:lang w:eastAsia="fr-FR"/>
              </w:rPr>
              <w:t>4, 22.2%</w:t>
            </w:r>
          </w:p>
          <w:p w:rsidR="001A03A6" w:rsidRPr="008C1192" w:rsidRDefault="001A03A6" w:rsidP="00524A9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vanish/>
                <w:sz w:val="18"/>
                <w:szCs w:val="18"/>
                <w:lang w:eastAsia="fr-FR"/>
              </w:rPr>
            </w:pPr>
          </w:p>
        </w:tc>
        <w:tc>
          <w:tcPr>
            <w:tcW w:w="1813" w:type="dxa"/>
          </w:tcPr>
          <w:p w:rsidR="001A03A6" w:rsidRPr="008C1192" w:rsidRDefault="001A03A6" w:rsidP="00524A9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vanish/>
                <w:sz w:val="18"/>
                <w:szCs w:val="18"/>
                <w:lang w:eastAsia="fr-FR"/>
              </w:rPr>
            </w:pPr>
            <w:r w:rsidRPr="0068754A">
              <w:rPr>
                <w:rFonts w:eastAsia="Times New Roman" w:cs="Times New Roman"/>
                <w:sz w:val="18"/>
                <w:szCs w:val="18"/>
                <w:lang w:eastAsia="fr-FR"/>
              </w:rPr>
              <w:t>9, 50.0%</w:t>
            </w:r>
          </w:p>
        </w:tc>
        <w:tc>
          <w:tcPr>
            <w:tcW w:w="1813" w:type="dxa"/>
          </w:tcPr>
          <w:p w:rsidR="001A03A6" w:rsidRPr="008C1192" w:rsidRDefault="001A03A6" w:rsidP="00524A9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fr-FR"/>
              </w:rPr>
            </w:pPr>
            <w:r w:rsidRPr="0068754A">
              <w:rPr>
                <w:rFonts w:eastAsia="Times New Roman" w:cs="Times New Roman"/>
                <w:sz w:val="18"/>
                <w:szCs w:val="18"/>
                <w:lang w:eastAsia="fr-FR"/>
              </w:rPr>
              <w:t>3, 16.7%</w:t>
            </w:r>
          </w:p>
          <w:p w:rsidR="001A03A6" w:rsidRPr="008C1192" w:rsidRDefault="001A03A6" w:rsidP="00524A9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vanish/>
                <w:sz w:val="18"/>
                <w:szCs w:val="18"/>
                <w:lang w:eastAsia="fr-FR"/>
              </w:rPr>
            </w:pPr>
          </w:p>
        </w:tc>
      </w:tr>
      <w:tr w:rsidR="001A03A6" w:rsidRPr="008C1192" w:rsidTr="00524A9A">
        <w:tc>
          <w:tcPr>
            <w:cnfStyle w:val="001000000000" w:firstRow="0" w:lastRow="0" w:firstColumn="1" w:lastColumn="0" w:oddVBand="0" w:evenVBand="0" w:oddHBand="0" w:evenHBand="0" w:firstRowFirstColumn="0" w:firstRowLastColumn="0" w:lastRowFirstColumn="0" w:lastRowLastColumn="0"/>
            <w:tcW w:w="1812" w:type="dxa"/>
          </w:tcPr>
          <w:p w:rsidR="001A03A6" w:rsidRPr="008C1192" w:rsidRDefault="001A03A6" w:rsidP="00524A9A">
            <w:pPr>
              <w:spacing w:after="0" w:line="240" w:lineRule="auto"/>
              <w:rPr>
                <w:rFonts w:eastAsia="Times New Roman" w:cs="Times New Roman"/>
                <w:vanish/>
                <w:sz w:val="18"/>
                <w:szCs w:val="18"/>
                <w:lang w:eastAsia="fr-FR"/>
              </w:rPr>
            </w:pPr>
            <w:r w:rsidRPr="0068754A">
              <w:rPr>
                <w:rFonts w:eastAsia="Times New Roman" w:cs="Times New Roman"/>
                <w:sz w:val="18"/>
                <w:szCs w:val="18"/>
                <w:lang w:eastAsia="fr-FR"/>
              </w:rPr>
              <w:t>2, 11.8%</w:t>
            </w:r>
          </w:p>
        </w:tc>
        <w:tc>
          <w:tcPr>
            <w:tcW w:w="1812" w:type="dxa"/>
          </w:tcPr>
          <w:p w:rsidR="001A03A6" w:rsidRPr="008C1192" w:rsidRDefault="001A03A6" w:rsidP="00524A9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vanish/>
                <w:sz w:val="18"/>
                <w:szCs w:val="18"/>
                <w:lang w:eastAsia="fr-FR"/>
              </w:rPr>
            </w:pPr>
            <w:r w:rsidRPr="0068754A">
              <w:rPr>
                <w:rFonts w:eastAsia="Times New Roman" w:cs="Times New Roman"/>
                <w:sz w:val="18"/>
                <w:szCs w:val="18"/>
                <w:lang w:eastAsia="fr-FR"/>
              </w:rPr>
              <w:t>6, 35.3%</w:t>
            </w:r>
          </w:p>
        </w:tc>
        <w:tc>
          <w:tcPr>
            <w:tcW w:w="1813" w:type="dxa"/>
          </w:tcPr>
          <w:p w:rsidR="001A03A6" w:rsidRPr="008C1192" w:rsidRDefault="001A03A6" w:rsidP="00524A9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vanish/>
                <w:sz w:val="18"/>
                <w:szCs w:val="18"/>
                <w:lang w:eastAsia="fr-FR"/>
              </w:rPr>
            </w:pPr>
            <w:r w:rsidRPr="0068754A">
              <w:rPr>
                <w:rFonts w:eastAsia="Times New Roman" w:cs="Times New Roman"/>
                <w:sz w:val="18"/>
                <w:szCs w:val="18"/>
                <w:lang w:eastAsia="fr-FR"/>
              </w:rPr>
              <w:t>7, 41.2%</w:t>
            </w:r>
          </w:p>
        </w:tc>
        <w:tc>
          <w:tcPr>
            <w:tcW w:w="1813" w:type="dxa"/>
          </w:tcPr>
          <w:p w:rsidR="001A03A6" w:rsidRPr="008C1192" w:rsidRDefault="001A03A6" w:rsidP="00524A9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vanish/>
                <w:sz w:val="18"/>
                <w:szCs w:val="18"/>
                <w:lang w:eastAsia="fr-FR"/>
              </w:rPr>
            </w:pPr>
            <w:r w:rsidRPr="0068754A">
              <w:rPr>
                <w:rFonts w:eastAsia="Times New Roman" w:cs="Times New Roman"/>
                <w:sz w:val="18"/>
                <w:szCs w:val="18"/>
                <w:lang w:eastAsia="fr-FR"/>
              </w:rPr>
              <w:t>2, 11.8%</w:t>
            </w:r>
          </w:p>
        </w:tc>
      </w:tr>
      <w:tr w:rsidR="001A03A6" w:rsidRPr="008C1192" w:rsidTr="00524A9A">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812" w:type="dxa"/>
          </w:tcPr>
          <w:p w:rsidR="001A03A6" w:rsidRPr="008C1192" w:rsidRDefault="001A03A6" w:rsidP="00524A9A">
            <w:pPr>
              <w:spacing w:after="0" w:line="240" w:lineRule="auto"/>
              <w:rPr>
                <w:rFonts w:eastAsia="Times New Roman" w:cs="Times New Roman"/>
                <w:vanish/>
                <w:sz w:val="18"/>
                <w:szCs w:val="18"/>
                <w:lang w:eastAsia="fr-FR"/>
              </w:rPr>
            </w:pPr>
            <w:r w:rsidRPr="0068754A">
              <w:rPr>
                <w:rFonts w:eastAsia="Times New Roman" w:cs="Times New Roman"/>
                <w:sz w:val="18"/>
                <w:szCs w:val="18"/>
                <w:lang w:eastAsia="fr-FR"/>
              </w:rPr>
              <w:t>1, 5.9%</w:t>
            </w:r>
          </w:p>
        </w:tc>
        <w:tc>
          <w:tcPr>
            <w:tcW w:w="1812" w:type="dxa"/>
          </w:tcPr>
          <w:p w:rsidR="001A03A6" w:rsidRPr="008C1192" w:rsidRDefault="001A03A6" w:rsidP="00524A9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fr-FR"/>
              </w:rPr>
            </w:pPr>
            <w:r w:rsidRPr="0068754A">
              <w:rPr>
                <w:rFonts w:eastAsia="Times New Roman" w:cs="Times New Roman"/>
                <w:sz w:val="18"/>
                <w:szCs w:val="18"/>
                <w:lang w:eastAsia="fr-FR"/>
              </w:rPr>
              <w:t>7, 41.2%</w:t>
            </w:r>
          </w:p>
          <w:p w:rsidR="001A03A6" w:rsidRPr="008C1192" w:rsidRDefault="001A03A6" w:rsidP="00524A9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vanish/>
                <w:sz w:val="18"/>
                <w:szCs w:val="18"/>
                <w:lang w:eastAsia="fr-FR"/>
              </w:rPr>
            </w:pPr>
          </w:p>
        </w:tc>
        <w:tc>
          <w:tcPr>
            <w:tcW w:w="1813" w:type="dxa"/>
          </w:tcPr>
          <w:p w:rsidR="001A03A6" w:rsidRPr="008C1192" w:rsidRDefault="001A03A6" w:rsidP="00524A9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vanish/>
                <w:sz w:val="18"/>
                <w:szCs w:val="18"/>
                <w:lang w:eastAsia="fr-FR"/>
              </w:rPr>
            </w:pPr>
            <w:r w:rsidRPr="0068754A">
              <w:rPr>
                <w:rFonts w:eastAsia="Times New Roman" w:cs="Times New Roman"/>
                <w:sz w:val="18"/>
                <w:szCs w:val="18"/>
                <w:lang w:eastAsia="fr-FR"/>
              </w:rPr>
              <w:t>8, 47.1%</w:t>
            </w:r>
          </w:p>
        </w:tc>
        <w:tc>
          <w:tcPr>
            <w:tcW w:w="18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tblGrid>
            <w:tr w:rsidR="001A03A6" w:rsidRPr="008C1192" w:rsidTr="00524A9A">
              <w:trPr>
                <w:tblCellSpacing w:w="15" w:type="dxa"/>
              </w:trPr>
              <w:tc>
                <w:tcPr>
                  <w:tcW w:w="0" w:type="auto"/>
                  <w:vAlign w:val="center"/>
                  <w:hideMark/>
                </w:tcPr>
                <w:p w:rsidR="001A03A6" w:rsidRPr="0068754A" w:rsidRDefault="001A03A6" w:rsidP="00524A9A">
                  <w:pPr>
                    <w:spacing w:after="0" w:line="240" w:lineRule="auto"/>
                    <w:rPr>
                      <w:rFonts w:eastAsia="Times New Roman" w:cs="Times New Roman"/>
                      <w:sz w:val="18"/>
                      <w:szCs w:val="18"/>
                      <w:lang w:eastAsia="fr-FR"/>
                    </w:rPr>
                  </w:pPr>
                  <w:r w:rsidRPr="0068754A">
                    <w:rPr>
                      <w:rFonts w:eastAsia="Times New Roman" w:cs="Times New Roman"/>
                      <w:sz w:val="18"/>
                      <w:szCs w:val="18"/>
                      <w:lang w:eastAsia="fr-FR"/>
                    </w:rPr>
                    <w:t>1, 5.9%</w:t>
                  </w:r>
                </w:p>
              </w:tc>
            </w:tr>
          </w:tbl>
          <w:p w:rsidR="001A03A6" w:rsidRPr="008C1192" w:rsidRDefault="001A03A6" w:rsidP="00524A9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vanish/>
                <w:sz w:val="18"/>
                <w:szCs w:val="18"/>
                <w:lang w:eastAsia="fr-FR"/>
              </w:rPr>
            </w:pPr>
          </w:p>
        </w:tc>
      </w:tr>
      <w:tr w:rsidR="001A03A6" w:rsidRPr="008C1192" w:rsidTr="00524A9A">
        <w:trPr>
          <w:trHeight w:val="254"/>
        </w:trPr>
        <w:tc>
          <w:tcPr>
            <w:cnfStyle w:val="001000000000" w:firstRow="0" w:lastRow="0" w:firstColumn="1" w:lastColumn="0" w:oddVBand="0" w:evenVBand="0" w:oddHBand="0" w:evenHBand="0" w:firstRowFirstColumn="0" w:firstRowLastColumn="0" w:lastRowFirstColumn="0" w:lastRowLastColumn="0"/>
            <w:tcW w:w="1812" w:type="dxa"/>
          </w:tcPr>
          <w:p w:rsidR="001A03A6" w:rsidRPr="008C1192" w:rsidRDefault="001A03A6" w:rsidP="00524A9A">
            <w:pPr>
              <w:rPr>
                <w:sz w:val="18"/>
                <w:szCs w:val="18"/>
              </w:rPr>
            </w:pPr>
            <w:r w:rsidRPr="0068754A">
              <w:rPr>
                <w:rFonts w:eastAsia="Times New Roman" w:cs="Times New Roman"/>
                <w:sz w:val="18"/>
                <w:szCs w:val="18"/>
                <w:lang w:eastAsia="fr-FR"/>
              </w:rPr>
              <w:t>3, 17.6%</w:t>
            </w:r>
          </w:p>
        </w:tc>
        <w:tc>
          <w:tcPr>
            <w:tcW w:w="1812" w:type="dxa"/>
          </w:tcPr>
          <w:p w:rsidR="001A03A6" w:rsidRPr="008C1192" w:rsidRDefault="001A03A6" w:rsidP="00524A9A">
            <w:pPr>
              <w:cnfStyle w:val="000000000000" w:firstRow="0" w:lastRow="0" w:firstColumn="0" w:lastColumn="0" w:oddVBand="0" w:evenVBand="0" w:oddHBand="0" w:evenHBand="0" w:firstRowFirstColumn="0" w:firstRowLastColumn="0" w:lastRowFirstColumn="0" w:lastRowLastColumn="0"/>
              <w:rPr>
                <w:sz w:val="18"/>
                <w:szCs w:val="18"/>
              </w:rPr>
            </w:pPr>
            <w:r w:rsidRPr="0068754A">
              <w:rPr>
                <w:rFonts w:eastAsia="Times New Roman" w:cs="Times New Roman"/>
                <w:sz w:val="18"/>
                <w:szCs w:val="18"/>
                <w:lang w:eastAsia="fr-FR"/>
              </w:rPr>
              <w:t>2, 11.8%</w:t>
            </w:r>
          </w:p>
        </w:tc>
        <w:tc>
          <w:tcPr>
            <w:tcW w:w="1813" w:type="dxa"/>
          </w:tcPr>
          <w:p w:rsidR="001A03A6" w:rsidRPr="008C1192" w:rsidRDefault="001A03A6" w:rsidP="00524A9A">
            <w:pPr>
              <w:cnfStyle w:val="000000000000" w:firstRow="0" w:lastRow="0" w:firstColumn="0" w:lastColumn="0" w:oddVBand="0" w:evenVBand="0" w:oddHBand="0" w:evenHBand="0" w:firstRowFirstColumn="0" w:firstRowLastColumn="0" w:lastRowFirstColumn="0" w:lastRowLastColumn="0"/>
              <w:rPr>
                <w:sz w:val="18"/>
                <w:szCs w:val="18"/>
              </w:rPr>
            </w:pPr>
            <w:r w:rsidRPr="0068754A">
              <w:rPr>
                <w:rFonts w:eastAsia="Times New Roman" w:cs="Times New Roman"/>
                <w:sz w:val="18"/>
                <w:szCs w:val="18"/>
                <w:lang w:eastAsia="fr-FR"/>
              </w:rPr>
              <w:t>11, 64.7%</w:t>
            </w:r>
          </w:p>
        </w:tc>
        <w:tc>
          <w:tcPr>
            <w:tcW w:w="1813" w:type="dxa"/>
          </w:tcPr>
          <w:p w:rsidR="001A03A6" w:rsidRPr="008C1192" w:rsidRDefault="001A03A6" w:rsidP="00524A9A">
            <w:pPr>
              <w:cnfStyle w:val="000000000000" w:firstRow="0" w:lastRow="0" w:firstColumn="0" w:lastColumn="0" w:oddVBand="0" w:evenVBand="0" w:oddHBand="0" w:evenHBand="0" w:firstRowFirstColumn="0" w:firstRowLastColumn="0" w:lastRowFirstColumn="0" w:lastRowLastColumn="0"/>
              <w:rPr>
                <w:sz w:val="18"/>
                <w:szCs w:val="18"/>
              </w:rPr>
            </w:pPr>
            <w:r w:rsidRPr="0068754A">
              <w:rPr>
                <w:rFonts w:eastAsia="Times New Roman" w:cs="Times New Roman"/>
                <w:sz w:val="18"/>
                <w:szCs w:val="18"/>
                <w:lang w:eastAsia="fr-FR"/>
              </w:rPr>
              <w:t>1, 5.9%</w:t>
            </w:r>
          </w:p>
        </w:tc>
      </w:tr>
    </w:tbl>
    <w:p w:rsidR="001A03A6" w:rsidRDefault="001A03A6" w:rsidP="00F145A9">
      <w:pPr>
        <w:spacing w:line="240" w:lineRule="auto"/>
        <w:jc w:val="both"/>
        <w:rPr>
          <w:rFonts w:cs="Times New Roman"/>
          <w:sz w:val="18"/>
          <w:szCs w:val="18"/>
          <w:lang w:val="en-US"/>
        </w:rPr>
        <w:sectPr w:rsidR="001A03A6" w:rsidSect="001A03A6">
          <w:type w:val="continuous"/>
          <w:pgSz w:w="11906" w:h="16838"/>
          <w:pgMar w:top="1417" w:right="1417" w:bottom="1417" w:left="1417" w:header="708" w:footer="680" w:gutter="0"/>
          <w:pgNumType w:fmt="numberInDash" w:start="1"/>
          <w:cols w:space="708"/>
          <w:titlePg/>
          <w:docGrid w:linePitch="360"/>
        </w:sectPr>
      </w:pPr>
    </w:p>
    <w:p w:rsidR="000C314D" w:rsidRDefault="001A03A6" w:rsidP="00F145A9">
      <w:pPr>
        <w:spacing w:line="240" w:lineRule="auto"/>
        <w:jc w:val="both"/>
        <w:rPr>
          <w:rFonts w:cs="Times New Roman"/>
          <w:sz w:val="18"/>
          <w:szCs w:val="18"/>
          <w:lang w:val="en-US"/>
        </w:rPr>
      </w:pPr>
      <w:r w:rsidRPr="001A03A6">
        <w:rPr>
          <w:rFonts w:cs="Times New Roman"/>
          <w:sz w:val="18"/>
          <w:szCs w:val="18"/>
          <w:lang w:val="en-US"/>
        </w:rPr>
        <w:t>The table shows that the majority of respondents in most villages are willing to pay at the 0.50 and 0.25 levels, with 64.7% and 41.2% frequencies, respectively. Villages show varying levels of willingness, with lower frequencies at the 0.00 and 0.70 levels.</w:t>
      </w:r>
      <w:r>
        <w:rPr>
          <w:rFonts w:cs="Times New Roman"/>
          <w:sz w:val="18"/>
          <w:szCs w:val="18"/>
          <w:lang w:val="en-US"/>
        </w:rPr>
        <w:t xml:space="preserve"> (</w:t>
      </w:r>
      <w:r w:rsidRPr="001A03A6">
        <w:rPr>
          <w:rFonts w:cs="Times New Roman"/>
          <w:b/>
          <w:sz w:val="18"/>
          <w:szCs w:val="18"/>
          <w:lang w:val="en-US"/>
        </w:rPr>
        <w:t>Table 4</w:t>
      </w:r>
      <w:r>
        <w:rPr>
          <w:rFonts w:cs="Times New Roman"/>
          <w:sz w:val="18"/>
          <w:szCs w:val="18"/>
          <w:lang w:val="en-US"/>
        </w:rPr>
        <w:t>.)</w:t>
      </w:r>
    </w:p>
    <w:p w:rsidR="001A03A6" w:rsidRDefault="001A03A6" w:rsidP="00F145A9">
      <w:pPr>
        <w:spacing w:line="240" w:lineRule="auto"/>
        <w:jc w:val="both"/>
        <w:rPr>
          <w:rFonts w:cs="Times New Roman"/>
          <w:sz w:val="18"/>
          <w:szCs w:val="18"/>
          <w:lang w:val="en-US"/>
        </w:rPr>
      </w:pPr>
    </w:p>
    <w:p w:rsidR="001A03A6" w:rsidRDefault="001A03A6" w:rsidP="00F145A9">
      <w:pPr>
        <w:spacing w:line="240" w:lineRule="auto"/>
        <w:jc w:val="both"/>
        <w:rPr>
          <w:rFonts w:cs="Times New Roman"/>
          <w:sz w:val="18"/>
          <w:szCs w:val="18"/>
          <w:lang w:val="en-US"/>
        </w:rPr>
      </w:pPr>
    </w:p>
    <w:p w:rsidR="001A03A6" w:rsidRDefault="001A03A6" w:rsidP="00F145A9">
      <w:pPr>
        <w:spacing w:line="240" w:lineRule="auto"/>
        <w:jc w:val="both"/>
        <w:rPr>
          <w:rFonts w:cs="Times New Roman"/>
          <w:sz w:val="18"/>
          <w:szCs w:val="18"/>
          <w:lang w:val="en-US"/>
        </w:rPr>
      </w:pPr>
    </w:p>
    <w:p w:rsidR="001A03A6" w:rsidRPr="001A03A6" w:rsidRDefault="001A03A6" w:rsidP="00F145A9">
      <w:pPr>
        <w:spacing w:line="240" w:lineRule="auto"/>
        <w:jc w:val="both"/>
        <w:rPr>
          <w:rFonts w:cs="Times New Roman"/>
          <w:sz w:val="18"/>
          <w:szCs w:val="18"/>
          <w:lang w:val="en-US"/>
        </w:rPr>
        <w:sectPr w:rsidR="001A03A6" w:rsidRPr="001A03A6" w:rsidSect="001A03A6">
          <w:type w:val="continuous"/>
          <w:pgSz w:w="11906" w:h="16838"/>
          <w:pgMar w:top="1417" w:right="1417" w:bottom="1417" w:left="1417" w:header="708" w:footer="708" w:gutter="0"/>
          <w:cols w:space="708"/>
          <w:docGrid w:linePitch="360"/>
        </w:sectPr>
      </w:pPr>
    </w:p>
    <w:p w:rsidR="00554461" w:rsidRPr="00FB0B34" w:rsidRDefault="000C314D" w:rsidP="00F145A9">
      <w:pPr>
        <w:spacing w:line="240" w:lineRule="auto"/>
        <w:jc w:val="both"/>
        <w:rPr>
          <w:rFonts w:cs="Times New Roman"/>
          <w:b/>
          <w:sz w:val="18"/>
          <w:szCs w:val="18"/>
          <w:lang w:val="en-US"/>
        </w:rPr>
      </w:pPr>
      <w:r>
        <w:rPr>
          <w:rFonts w:cs="Times New Roman"/>
          <w:b/>
          <w:sz w:val="18"/>
          <w:szCs w:val="18"/>
          <w:lang w:val="en-US"/>
        </w:rPr>
        <w:t xml:space="preserve">4. </w:t>
      </w:r>
      <w:r w:rsidR="00554461" w:rsidRPr="00FB0B34">
        <w:rPr>
          <w:rFonts w:cs="Times New Roman"/>
          <w:b/>
          <w:sz w:val="18"/>
          <w:szCs w:val="18"/>
          <w:lang w:val="en-US"/>
        </w:rPr>
        <w:t>D</w:t>
      </w:r>
      <w:r w:rsidR="00E30465" w:rsidRPr="00FB0B34">
        <w:rPr>
          <w:rFonts w:cs="Times New Roman"/>
          <w:b/>
          <w:sz w:val="18"/>
          <w:szCs w:val="18"/>
          <w:lang w:val="en-US"/>
        </w:rPr>
        <w:t xml:space="preserve">iscussion </w:t>
      </w:r>
    </w:p>
    <w:p w:rsidR="001A03A6" w:rsidRDefault="001A03A6" w:rsidP="00F145A9">
      <w:pPr>
        <w:spacing w:line="240" w:lineRule="auto"/>
        <w:jc w:val="both"/>
        <w:rPr>
          <w:rFonts w:cs="Times New Roman"/>
          <w:sz w:val="18"/>
          <w:szCs w:val="18"/>
          <w:lang w:val="en-US"/>
        </w:rPr>
      </w:pPr>
      <w:r>
        <w:rPr>
          <w:rFonts w:cs="Times New Roman"/>
          <w:sz w:val="18"/>
          <w:szCs w:val="18"/>
          <w:lang w:val="en-US"/>
        </w:rPr>
        <w:t>The observations from Table 2</w:t>
      </w:r>
      <w:r w:rsidR="00554461" w:rsidRPr="00FB0B34">
        <w:rPr>
          <w:rFonts w:cs="Times New Roman"/>
          <w:sz w:val="18"/>
          <w:szCs w:val="18"/>
          <w:lang w:val="en-US"/>
        </w:rPr>
        <w:t xml:space="preserve"> reveal a strong emphasis on provisioning and support services in villages, relegating regulation and cultural services to a less central position. This trend reflects a general preference for addressing immediate needs such as wood and other forest products, at the expense of more indirect aspects such as climate regulation or cultural benefits. Research by Diaz et al. (2018) corroborates this predominance of provisioning services, suggesting a convergence in the overall perception of ecosystem services. Turner et al. (2019) have highlighted the crucial importance of provisioning services while also highlighting the interconnection between ecosystem services for human well-being. Constanza et al. (2020) reinforce this idea by highlighting the integrated value of all ecosystem services, including regulation and cultural services, to improve community quality of life. Fisher et al. (2018) and Daily et al. (2019) have emphasized the underestimation of regulation services and </w:t>
      </w:r>
      <w:r w:rsidR="00314962" w:rsidRPr="00FB0B34">
        <w:rPr>
          <w:rFonts w:cs="Times New Roman"/>
          <w:sz w:val="18"/>
          <w:szCs w:val="18"/>
          <w:lang w:val="en-US"/>
        </w:rPr>
        <w:t>their</w:t>
      </w:r>
      <w:r w:rsidR="00554461" w:rsidRPr="00FB0B34">
        <w:rPr>
          <w:rFonts w:cs="Times New Roman"/>
          <w:sz w:val="18"/>
          <w:szCs w:val="18"/>
          <w:lang w:val="en-US"/>
        </w:rPr>
        <w:t xml:space="preserve"> potentially detrimental impact on ecological stability and resil</w:t>
      </w:r>
      <w:r>
        <w:rPr>
          <w:rFonts w:cs="Times New Roman"/>
          <w:sz w:val="18"/>
          <w:szCs w:val="18"/>
          <w:lang w:val="en-US"/>
        </w:rPr>
        <w:t xml:space="preserve">ience to environmental changes. </w:t>
      </w:r>
      <w:r w:rsidR="00554461" w:rsidRPr="00FB0B34">
        <w:rPr>
          <w:rFonts w:cs="Times New Roman"/>
          <w:sz w:val="18"/>
          <w:szCs w:val="18"/>
          <w:lang w:val="en-US"/>
        </w:rPr>
        <w:t xml:space="preserve">Villages like </w:t>
      </w:r>
      <w:proofErr w:type="spellStart"/>
      <w:r w:rsidR="00554461" w:rsidRPr="00FB0B34">
        <w:rPr>
          <w:rFonts w:cs="Times New Roman"/>
          <w:sz w:val="18"/>
          <w:szCs w:val="18"/>
          <w:lang w:val="en-US"/>
        </w:rPr>
        <w:t>Cibinda</w:t>
      </w:r>
      <w:proofErr w:type="spellEnd"/>
      <w:r w:rsidR="00554461" w:rsidRPr="00FB0B34">
        <w:rPr>
          <w:rFonts w:cs="Times New Roman"/>
          <w:sz w:val="18"/>
          <w:szCs w:val="18"/>
          <w:lang w:val="en-US"/>
        </w:rPr>
        <w:t xml:space="preserve">, </w:t>
      </w:r>
      <w:proofErr w:type="spellStart"/>
      <w:r w:rsidR="00554461" w:rsidRPr="00FB0B34">
        <w:rPr>
          <w:rFonts w:cs="Times New Roman"/>
          <w:sz w:val="18"/>
          <w:szCs w:val="18"/>
          <w:lang w:val="en-US"/>
        </w:rPr>
        <w:t>Caminunu</w:t>
      </w:r>
      <w:proofErr w:type="spellEnd"/>
      <w:r w:rsidR="00554461" w:rsidRPr="00FB0B34">
        <w:rPr>
          <w:rFonts w:cs="Times New Roman"/>
          <w:sz w:val="18"/>
          <w:szCs w:val="18"/>
          <w:lang w:val="en-US"/>
        </w:rPr>
        <w:t xml:space="preserve">, and Rambo demonstrated high levels of involvement, reaching 41.2%, 52.9%, and 64.7%, respectively. These figures can be explained by dynamic local initiatives and active participation in these communities. In contrast, </w:t>
      </w:r>
      <w:proofErr w:type="spellStart"/>
      <w:r w:rsidR="00554461" w:rsidRPr="00FB0B34">
        <w:rPr>
          <w:rFonts w:cs="Times New Roman"/>
          <w:sz w:val="18"/>
          <w:szCs w:val="18"/>
          <w:lang w:val="en-US"/>
        </w:rPr>
        <w:t>Fendula</w:t>
      </w:r>
      <w:proofErr w:type="spellEnd"/>
      <w:r w:rsidR="00554461" w:rsidRPr="00FB0B34">
        <w:rPr>
          <w:rFonts w:cs="Times New Roman"/>
          <w:sz w:val="18"/>
          <w:szCs w:val="18"/>
          <w:lang w:val="en-US"/>
        </w:rPr>
        <w:t xml:space="preserve"> showed lower engagement compared to other villages, with 76.5% displaying moderate or low levels, likely due to limited resources and less developed infrastructure (</w:t>
      </w:r>
      <w:proofErr w:type="spellStart"/>
      <w:r w:rsidR="00554461" w:rsidRPr="00FB0B34">
        <w:rPr>
          <w:rFonts w:cs="Times New Roman"/>
          <w:sz w:val="18"/>
          <w:szCs w:val="18"/>
          <w:lang w:val="en-US"/>
        </w:rPr>
        <w:t>Hassen</w:t>
      </w:r>
      <w:proofErr w:type="spellEnd"/>
      <w:r w:rsidR="00554461" w:rsidRPr="00FB0B34">
        <w:rPr>
          <w:rFonts w:cs="Times New Roman"/>
          <w:sz w:val="18"/>
          <w:szCs w:val="18"/>
          <w:lang w:val="en-US"/>
        </w:rPr>
        <w:t xml:space="preserve">, 2023). </w:t>
      </w:r>
    </w:p>
    <w:p w:rsidR="00554461" w:rsidRDefault="00554461" w:rsidP="00F145A9">
      <w:pPr>
        <w:spacing w:line="240" w:lineRule="auto"/>
        <w:jc w:val="both"/>
        <w:rPr>
          <w:rFonts w:cs="Times New Roman"/>
          <w:sz w:val="18"/>
          <w:szCs w:val="18"/>
          <w:lang w:val="en-US"/>
        </w:rPr>
      </w:pPr>
      <w:proofErr w:type="spellStart"/>
      <w:r w:rsidRPr="00FB0B34">
        <w:rPr>
          <w:rFonts w:cs="Times New Roman"/>
          <w:sz w:val="18"/>
          <w:szCs w:val="18"/>
          <w:lang w:val="en-US"/>
        </w:rPr>
        <w:t>Cifunzi</w:t>
      </w:r>
      <w:proofErr w:type="spellEnd"/>
      <w:r w:rsidRPr="00FB0B34">
        <w:rPr>
          <w:rFonts w:cs="Times New Roman"/>
          <w:sz w:val="18"/>
          <w:szCs w:val="18"/>
          <w:lang w:val="en-US"/>
        </w:rPr>
        <w:t xml:space="preserve"> and Mule showed more balanced distributions, suggesting diverse social dynamics.</w:t>
      </w:r>
      <w:r w:rsidR="000F016A" w:rsidRPr="00FB0B34">
        <w:rPr>
          <w:rFonts w:cs="Times New Roman"/>
          <w:sz w:val="18"/>
          <w:szCs w:val="18"/>
          <w:lang w:val="en-US"/>
        </w:rPr>
        <w:t xml:space="preserve"> </w:t>
      </w:r>
      <w:r w:rsidRPr="00FB0B34">
        <w:rPr>
          <w:rFonts w:cs="Times New Roman"/>
          <w:sz w:val="18"/>
          <w:szCs w:val="18"/>
          <w:lang w:val="en-US"/>
        </w:rPr>
        <w:t xml:space="preserve">Previous research, such as that of Lo and Zhu (2022) in China and </w:t>
      </w:r>
      <w:proofErr w:type="spellStart"/>
      <w:r w:rsidRPr="00FB0B34">
        <w:rPr>
          <w:rFonts w:cs="Times New Roman"/>
          <w:sz w:val="18"/>
          <w:szCs w:val="18"/>
          <w:lang w:val="en-US"/>
        </w:rPr>
        <w:t>Hassen</w:t>
      </w:r>
      <w:proofErr w:type="spellEnd"/>
      <w:r w:rsidRPr="00FB0B34">
        <w:rPr>
          <w:rFonts w:cs="Times New Roman"/>
          <w:sz w:val="18"/>
          <w:szCs w:val="18"/>
          <w:lang w:val="en-US"/>
        </w:rPr>
        <w:t xml:space="preserve"> (2023) in Ethiopia, underscores the association between </w:t>
      </w:r>
      <w:r w:rsidR="00314962" w:rsidRPr="00FB0B34">
        <w:rPr>
          <w:rFonts w:cs="Times New Roman"/>
          <w:sz w:val="18"/>
          <w:szCs w:val="18"/>
          <w:lang w:val="en-US"/>
        </w:rPr>
        <w:t xml:space="preserve">the </w:t>
      </w:r>
      <w:r w:rsidRPr="00FB0B34">
        <w:rPr>
          <w:rFonts w:cs="Times New Roman"/>
          <w:sz w:val="18"/>
          <w:szCs w:val="18"/>
          <w:lang w:val="en-US"/>
        </w:rPr>
        <w:t>increasing involvement of local communities in forest conservation, their access to forest resources, and their participation in decision-making. These studies highlight the crucial importance of awareness and community engagement to motivate forest preservation by local populations. The result corroborates the findings of Wang et al. (2019), which showed that participatory conservation programs stimulate the engagement of local communities in forest management.</w:t>
      </w:r>
      <w:r w:rsidR="007542F6" w:rsidRPr="00FB0B34">
        <w:rPr>
          <w:rFonts w:cs="Times New Roman"/>
          <w:sz w:val="18"/>
          <w:szCs w:val="18"/>
          <w:lang w:val="en-US"/>
        </w:rPr>
        <w:t xml:space="preserve"> </w:t>
      </w:r>
      <w:r w:rsidRPr="00FB0B34">
        <w:rPr>
          <w:rFonts w:cs="Times New Roman"/>
          <w:sz w:val="18"/>
          <w:szCs w:val="18"/>
          <w:lang w:val="en-US"/>
        </w:rPr>
        <w:t>This convergence is explained by strengthening trust, cooperation, and empowerment of local actors, as well as improving their access to forest benefits. In contrast, the conclusions of Wang et al. (2019), highlighting the influence of factors such as education level, income, household size, and perception of ecosystem services in China, differ from the context of local communities in the Democratic Republic of the Congo. These divergences question the model proposed by Wang et al. (2020), which primarily establishes a link between economic incentives and the engagement of local populations in forest conservation.</w:t>
      </w:r>
    </w:p>
    <w:p w:rsidR="001A03A6" w:rsidRDefault="001A03A6" w:rsidP="001A03A6">
      <w:pPr>
        <w:pStyle w:val="NormalWeb"/>
        <w:jc w:val="both"/>
        <w:rPr>
          <w:sz w:val="18"/>
          <w:szCs w:val="18"/>
          <w:lang w:val="en-US"/>
        </w:rPr>
      </w:pPr>
      <w:r w:rsidRPr="001A03A6">
        <w:rPr>
          <w:sz w:val="18"/>
          <w:szCs w:val="18"/>
          <w:lang w:val="en-US"/>
        </w:rPr>
        <w:t xml:space="preserve">The villages exhibited different levels of willingness to pay for the preservation </w:t>
      </w:r>
      <w:r w:rsidRPr="001A03A6">
        <w:rPr>
          <w:sz w:val="18"/>
          <w:szCs w:val="18"/>
          <w:lang w:val="en-US"/>
        </w:rPr>
        <w:t>of ecosystems (Tab. 4</w:t>
      </w:r>
      <w:r w:rsidRPr="001A03A6">
        <w:rPr>
          <w:sz w:val="18"/>
          <w:szCs w:val="18"/>
          <w:lang w:val="en-US"/>
        </w:rPr>
        <w:t xml:space="preserve">). The main distribution was 50% for </w:t>
      </w:r>
      <w:proofErr w:type="spellStart"/>
      <w:r w:rsidRPr="001A03A6">
        <w:rPr>
          <w:sz w:val="18"/>
          <w:szCs w:val="18"/>
          <w:lang w:val="en-US"/>
        </w:rPr>
        <w:t>Cibinda</w:t>
      </w:r>
      <w:proofErr w:type="spellEnd"/>
      <w:r w:rsidRPr="001A03A6">
        <w:rPr>
          <w:sz w:val="18"/>
          <w:szCs w:val="18"/>
          <w:lang w:val="en-US"/>
        </w:rPr>
        <w:t xml:space="preserve">, </w:t>
      </w:r>
      <w:proofErr w:type="spellStart"/>
      <w:r w:rsidRPr="001A03A6">
        <w:rPr>
          <w:sz w:val="18"/>
          <w:szCs w:val="18"/>
          <w:lang w:val="en-US"/>
        </w:rPr>
        <w:t>Fendula</w:t>
      </w:r>
      <w:proofErr w:type="spellEnd"/>
      <w:r w:rsidRPr="001A03A6">
        <w:rPr>
          <w:sz w:val="18"/>
          <w:szCs w:val="18"/>
          <w:lang w:val="en-US"/>
        </w:rPr>
        <w:t xml:space="preserve">, and Mule, and 25% for </w:t>
      </w:r>
      <w:proofErr w:type="spellStart"/>
      <w:r w:rsidRPr="001A03A6">
        <w:rPr>
          <w:sz w:val="18"/>
          <w:szCs w:val="18"/>
          <w:lang w:val="en-US"/>
        </w:rPr>
        <w:t>Caminunu</w:t>
      </w:r>
      <w:proofErr w:type="spellEnd"/>
      <w:r w:rsidRPr="001A03A6">
        <w:rPr>
          <w:sz w:val="18"/>
          <w:szCs w:val="18"/>
          <w:lang w:val="en-US"/>
        </w:rPr>
        <w:t xml:space="preserve">, </w:t>
      </w:r>
      <w:proofErr w:type="spellStart"/>
      <w:r w:rsidRPr="001A03A6">
        <w:rPr>
          <w:sz w:val="18"/>
          <w:szCs w:val="18"/>
          <w:lang w:val="en-US"/>
        </w:rPr>
        <w:t>Cifunzi</w:t>
      </w:r>
      <w:proofErr w:type="spellEnd"/>
      <w:r w:rsidRPr="001A03A6">
        <w:rPr>
          <w:sz w:val="18"/>
          <w:szCs w:val="18"/>
          <w:lang w:val="en-US"/>
        </w:rPr>
        <w:t xml:space="preserve">, and Rambo. Rambo showed a more polarized distribution (64.7% at 50%), while </w:t>
      </w:r>
      <w:proofErr w:type="spellStart"/>
      <w:r w:rsidRPr="001A03A6">
        <w:rPr>
          <w:sz w:val="18"/>
          <w:szCs w:val="18"/>
          <w:lang w:val="en-US"/>
        </w:rPr>
        <w:t>Fendula</w:t>
      </w:r>
      <w:proofErr w:type="spellEnd"/>
      <w:r w:rsidRPr="001A03A6">
        <w:rPr>
          <w:sz w:val="18"/>
          <w:szCs w:val="18"/>
          <w:lang w:val="en-US"/>
        </w:rPr>
        <w:t xml:space="preserve"> had a more balanced distribution (25% to 50%). Very few participants opted for no financial contribution (0%). These differences likely reflect the economic capacities, local priorities, and levels of engagement in forest conservation aimed at ensuring a sustainable supply of ecosystem services (Garcia Matos, </w:t>
      </w:r>
      <w:r>
        <w:rPr>
          <w:sz w:val="18"/>
          <w:szCs w:val="18"/>
          <w:lang w:val="en-US"/>
        </w:rPr>
        <w:t xml:space="preserve">2023). </w:t>
      </w:r>
      <w:r w:rsidRPr="001A03A6">
        <w:rPr>
          <w:sz w:val="18"/>
          <w:szCs w:val="18"/>
          <w:lang w:val="en-US"/>
        </w:rPr>
        <w:t xml:space="preserve">Smith et al. (2020) highlight that variations in communities' financial contributions to forest conservation initiatives can be attributed to economic differences and local perceptions of the value of forest resources. Similarly, </w:t>
      </w:r>
      <w:proofErr w:type="spellStart"/>
      <w:r w:rsidRPr="001A03A6">
        <w:rPr>
          <w:sz w:val="18"/>
          <w:szCs w:val="18"/>
          <w:lang w:val="en-US"/>
        </w:rPr>
        <w:t>Nyangoko</w:t>
      </w:r>
      <w:proofErr w:type="spellEnd"/>
      <w:r w:rsidRPr="001A03A6">
        <w:rPr>
          <w:sz w:val="18"/>
          <w:szCs w:val="18"/>
          <w:lang w:val="en-US"/>
        </w:rPr>
        <w:t xml:space="preserve"> et al. (2022) show that local priorities and engagement vary according to socio-economic conditions, which in turn influence the willingness to contribute financially. These similarities underscore the importance of understanding local factors in designing forest conservation strategies that consider economic contexts and specific community concerns (Diaz et al., 2018).</w:t>
      </w:r>
    </w:p>
    <w:p w:rsidR="00554461" w:rsidRPr="00FB0B34" w:rsidRDefault="00DB59A9" w:rsidP="00F145A9">
      <w:pPr>
        <w:spacing w:line="240" w:lineRule="auto"/>
        <w:jc w:val="both"/>
        <w:rPr>
          <w:rFonts w:cs="Times New Roman"/>
          <w:b/>
          <w:sz w:val="18"/>
          <w:szCs w:val="18"/>
          <w:lang w:val="en-US"/>
        </w:rPr>
      </w:pPr>
      <w:r w:rsidRPr="00FB0B34">
        <w:rPr>
          <w:rFonts w:cs="Times New Roman"/>
          <w:b/>
          <w:sz w:val="18"/>
          <w:szCs w:val="18"/>
          <w:lang w:val="en-US"/>
        </w:rPr>
        <w:t xml:space="preserve">5. </w:t>
      </w:r>
      <w:r w:rsidR="00554461" w:rsidRPr="00FB0B34">
        <w:rPr>
          <w:rFonts w:cs="Times New Roman"/>
          <w:b/>
          <w:sz w:val="18"/>
          <w:szCs w:val="18"/>
          <w:lang w:val="en-US"/>
        </w:rPr>
        <w:t>C</w:t>
      </w:r>
      <w:r w:rsidR="007542F6" w:rsidRPr="00FB0B34">
        <w:rPr>
          <w:rFonts w:cs="Times New Roman"/>
          <w:b/>
          <w:sz w:val="18"/>
          <w:szCs w:val="18"/>
          <w:lang w:val="en-US"/>
        </w:rPr>
        <w:t>onclusion</w:t>
      </w:r>
    </w:p>
    <w:p w:rsidR="00843C67" w:rsidRPr="009130C5" w:rsidRDefault="00554461" w:rsidP="00F145A9">
      <w:pPr>
        <w:spacing w:line="240" w:lineRule="auto"/>
        <w:jc w:val="both"/>
        <w:rPr>
          <w:rFonts w:cs="Times New Roman"/>
          <w:sz w:val="18"/>
          <w:szCs w:val="18"/>
          <w:lang w:val="en-US"/>
        </w:rPr>
      </w:pPr>
      <w:r w:rsidRPr="00FB0B34">
        <w:rPr>
          <w:rFonts w:cs="Times New Roman"/>
          <w:sz w:val="18"/>
          <w:szCs w:val="18"/>
          <w:lang w:val="en-US"/>
        </w:rPr>
        <w:t>This study aimed to analyze the evo</w:t>
      </w:r>
      <w:r w:rsidR="001A03A6">
        <w:rPr>
          <w:rFonts w:cs="Times New Roman"/>
          <w:sz w:val="18"/>
          <w:szCs w:val="18"/>
          <w:lang w:val="en-US"/>
        </w:rPr>
        <w:t xml:space="preserve">lution of forests around the </w:t>
      </w:r>
      <w:proofErr w:type="spellStart"/>
      <w:r w:rsidR="001A03A6">
        <w:rPr>
          <w:rFonts w:cs="Times New Roman"/>
          <w:sz w:val="18"/>
          <w:szCs w:val="18"/>
          <w:lang w:val="en-US"/>
        </w:rPr>
        <w:t>Kahuzi-Biega</w:t>
      </w:r>
      <w:proofErr w:type="spellEnd"/>
      <w:r w:rsidR="001A03A6">
        <w:rPr>
          <w:rFonts w:cs="Times New Roman"/>
          <w:sz w:val="18"/>
          <w:szCs w:val="18"/>
          <w:lang w:val="en-US"/>
        </w:rPr>
        <w:t xml:space="preserve"> National Park (KBNP)</w:t>
      </w:r>
      <w:r w:rsidRPr="00FB0B34">
        <w:rPr>
          <w:rFonts w:cs="Times New Roman"/>
          <w:sz w:val="18"/>
          <w:szCs w:val="18"/>
          <w:lang w:val="en-US"/>
        </w:rPr>
        <w:t xml:space="preserve"> grouping, local perceptions of forest ecosystem services, </w:t>
      </w:r>
      <w:r w:rsidR="001A03A6">
        <w:rPr>
          <w:rFonts w:cs="Times New Roman"/>
          <w:sz w:val="18"/>
          <w:szCs w:val="18"/>
          <w:lang w:val="en-US"/>
        </w:rPr>
        <w:t xml:space="preserve">willingness to pay, </w:t>
      </w:r>
      <w:r w:rsidRPr="00FB0B34">
        <w:rPr>
          <w:rFonts w:cs="Times New Roman"/>
          <w:sz w:val="18"/>
          <w:szCs w:val="18"/>
          <w:lang w:val="en-US"/>
        </w:rPr>
        <w:t xml:space="preserve">and community engagement in conservation through a survey. The results highlighted the predominance of provisioning service, with villages like </w:t>
      </w:r>
      <w:proofErr w:type="spellStart"/>
      <w:r w:rsidRPr="00FB0B34">
        <w:rPr>
          <w:rFonts w:cs="Times New Roman"/>
          <w:sz w:val="18"/>
          <w:szCs w:val="18"/>
          <w:lang w:val="en-US"/>
        </w:rPr>
        <w:t>Cibinda</w:t>
      </w:r>
      <w:proofErr w:type="spellEnd"/>
      <w:r w:rsidRPr="00FB0B34">
        <w:rPr>
          <w:rFonts w:cs="Times New Roman"/>
          <w:sz w:val="18"/>
          <w:szCs w:val="18"/>
          <w:lang w:val="en-US"/>
        </w:rPr>
        <w:t xml:space="preserve"> and </w:t>
      </w:r>
      <w:proofErr w:type="spellStart"/>
      <w:r w:rsidRPr="00FB0B34">
        <w:rPr>
          <w:rFonts w:cs="Times New Roman"/>
          <w:sz w:val="18"/>
          <w:szCs w:val="18"/>
          <w:lang w:val="en-US"/>
        </w:rPr>
        <w:t>Caminunu</w:t>
      </w:r>
      <w:proofErr w:type="spellEnd"/>
      <w:r w:rsidRPr="00FB0B34">
        <w:rPr>
          <w:rFonts w:cs="Times New Roman"/>
          <w:sz w:val="18"/>
          <w:szCs w:val="18"/>
          <w:lang w:val="en-US"/>
        </w:rPr>
        <w:t xml:space="preserve"> standing out for their strong engagement in conservation. A majority of the population reported a widespread decrease in forest density. Thus, it becomes essential to strengthen forest </w:t>
      </w:r>
      <w:r w:rsidR="001A03A6">
        <w:rPr>
          <w:rFonts w:cs="Times New Roman"/>
          <w:sz w:val="18"/>
          <w:szCs w:val="18"/>
          <w:lang w:val="en-US"/>
        </w:rPr>
        <w:t>conservation policies in the villages surrounding the KBNP</w:t>
      </w:r>
      <w:r w:rsidRPr="00FB0B34">
        <w:rPr>
          <w:rFonts w:cs="Times New Roman"/>
          <w:sz w:val="18"/>
          <w:szCs w:val="18"/>
          <w:lang w:val="en-US"/>
        </w:rPr>
        <w:t>, regulate activities, and promote sustainable agricultural practices. Targeted awareness programs focusing on ecosystem services should be directed towards less-involved villages</w:t>
      </w:r>
      <w:r w:rsidR="00707EF8" w:rsidRPr="00FB0B34">
        <w:rPr>
          <w:rFonts w:cs="Times New Roman"/>
          <w:sz w:val="18"/>
          <w:szCs w:val="18"/>
          <w:lang w:val="en-US"/>
        </w:rPr>
        <w:t xml:space="preserve"> like</w:t>
      </w:r>
      <w:r w:rsidRPr="00FB0B34">
        <w:rPr>
          <w:rFonts w:cs="Times New Roman"/>
          <w:sz w:val="18"/>
          <w:szCs w:val="18"/>
          <w:lang w:val="en-US"/>
        </w:rPr>
        <w:t xml:space="preserve"> </w:t>
      </w:r>
      <w:proofErr w:type="spellStart"/>
      <w:r w:rsidRPr="00FB0B34">
        <w:rPr>
          <w:rFonts w:cs="Times New Roman"/>
          <w:sz w:val="18"/>
          <w:szCs w:val="18"/>
          <w:lang w:val="en-US"/>
        </w:rPr>
        <w:t>Fendula</w:t>
      </w:r>
      <w:proofErr w:type="spellEnd"/>
      <w:r w:rsidRPr="00FB0B34">
        <w:rPr>
          <w:rFonts w:cs="Times New Roman"/>
          <w:sz w:val="18"/>
          <w:szCs w:val="18"/>
          <w:lang w:val="en-US"/>
        </w:rPr>
        <w:t xml:space="preserve"> and Rambo. Actively encouraging participation from engaged villages, such as </w:t>
      </w:r>
      <w:proofErr w:type="spellStart"/>
      <w:r w:rsidRPr="00FB0B34">
        <w:rPr>
          <w:rFonts w:cs="Times New Roman"/>
          <w:sz w:val="18"/>
          <w:szCs w:val="18"/>
          <w:lang w:val="en-US"/>
        </w:rPr>
        <w:t>Cibinda</w:t>
      </w:r>
      <w:proofErr w:type="spellEnd"/>
      <w:r w:rsidRPr="00FB0B34">
        <w:rPr>
          <w:rFonts w:cs="Times New Roman"/>
          <w:sz w:val="18"/>
          <w:szCs w:val="18"/>
          <w:lang w:val="en-US"/>
        </w:rPr>
        <w:t xml:space="preserve"> and </w:t>
      </w:r>
      <w:proofErr w:type="spellStart"/>
      <w:r w:rsidRPr="00FB0B34">
        <w:rPr>
          <w:rFonts w:cs="Times New Roman"/>
          <w:sz w:val="18"/>
          <w:szCs w:val="18"/>
          <w:lang w:val="en-US"/>
        </w:rPr>
        <w:t>Caminunu</w:t>
      </w:r>
      <w:proofErr w:type="spellEnd"/>
      <w:r w:rsidRPr="00FB0B34">
        <w:rPr>
          <w:rFonts w:cs="Times New Roman"/>
          <w:sz w:val="18"/>
          <w:szCs w:val="18"/>
          <w:lang w:val="en-US"/>
        </w:rPr>
        <w:t>, through sustainable incentives and initiatives, is crucial.</w:t>
      </w:r>
      <w:r w:rsidR="009130C5">
        <w:rPr>
          <w:lang w:val="en-US"/>
        </w:rPr>
        <w:t xml:space="preserve"> </w:t>
      </w:r>
      <w:r w:rsidR="009130C5" w:rsidRPr="009130C5">
        <w:rPr>
          <w:sz w:val="18"/>
          <w:szCs w:val="18"/>
          <w:lang w:val="en-US"/>
        </w:rPr>
        <w:t xml:space="preserve">The conservation of forest ecosystems, particularly in biodiversity hotspots like </w:t>
      </w:r>
      <w:proofErr w:type="spellStart"/>
      <w:r w:rsidR="009130C5" w:rsidRPr="009130C5">
        <w:rPr>
          <w:sz w:val="18"/>
          <w:szCs w:val="18"/>
          <w:lang w:val="en-US"/>
        </w:rPr>
        <w:t>Kahuzi-Biega</w:t>
      </w:r>
      <w:proofErr w:type="spellEnd"/>
      <w:r w:rsidR="009130C5" w:rsidRPr="009130C5">
        <w:rPr>
          <w:sz w:val="18"/>
          <w:szCs w:val="18"/>
          <w:lang w:val="en-US"/>
        </w:rPr>
        <w:t xml:space="preserve"> National Park, is critical for maintaining global ecological balance and supporting the livelihoods of local communities. However, achieving effective conservation requires a deep understanding of the socio-ecological context in which these ecosystems exist. By examining local perceptions of forest ecosystem services, willingness to pay for conservation, and commitment </w:t>
      </w:r>
      <w:r w:rsidR="001A03A6">
        <w:rPr>
          <w:sz w:val="18"/>
          <w:szCs w:val="18"/>
          <w:lang w:val="en-US"/>
        </w:rPr>
        <w:t>to conservation, this study aimed</w:t>
      </w:r>
      <w:r w:rsidR="009130C5" w:rsidRPr="009130C5">
        <w:rPr>
          <w:sz w:val="18"/>
          <w:szCs w:val="18"/>
          <w:lang w:val="en-US"/>
        </w:rPr>
        <w:t xml:space="preserve"> to contribute to the development of conservation strategies that are both ecologically sound and socially equitable.</w:t>
      </w:r>
    </w:p>
    <w:p w:rsidR="006310EF" w:rsidRPr="00FB0B34" w:rsidRDefault="006310EF" w:rsidP="00F145A9">
      <w:pPr>
        <w:spacing w:line="240" w:lineRule="auto"/>
        <w:jc w:val="both"/>
        <w:rPr>
          <w:rFonts w:cs="Times New Roman"/>
          <w:b/>
          <w:sz w:val="18"/>
          <w:szCs w:val="18"/>
          <w:lang w:val="en-US"/>
        </w:rPr>
      </w:pPr>
      <w:r w:rsidRPr="00FB0B34">
        <w:rPr>
          <w:rFonts w:cs="Times New Roman"/>
          <w:b/>
          <w:sz w:val="18"/>
          <w:szCs w:val="18"/>
          <w:lang w:val="en-US"/>
        </w:rPr>
        <w:t>R</w:t>
      </w:r>
      <w:r w:rsidR="007542F6" w:rsidRPr="00FB0B34">
        <w:rPr>
          <w:rFonts w:cs="Times New Roman"/>
          <w:b/>
          <w:sz w:val="18"/>
          <w:szCs w:val="18"/>
          <w:lang w:val="en-US"/>
        </w:rPr>
        <w:t>eferences</w:t>
      </w:r>
    </w:p>
    <w:p w:rsidR="001A03A6" w:rsidRPr="001A03A6" w:rsidRDefault="001A03A6" w:rsidP="001A03A6">
      <w:pPr>
        <w:pStyle w:val="NormalWeb"/>
        <w:numPr>
          <w:ilvl w:val="0"/>
          <w:numId w:val="6"/>
        </w:numPr>
        <w:tabs>
          <w:tab w:val="clear" w:pos="720"/>
        </w:tabs>
        <w:ind w:left="284" w:hanging="284"/>
        <w:rPr>
          <w:sz w:val="18"/>
          <w:szCs w:val="18"/>
          <w:lang w:val="en-US"/>
        </w:rPr>
      </w:pPr>
      <w:r w:rsidRPr="001A03A6">
        <w:rPr>
          <w:sz w:val="18"/>
          <w:szCs w:val="18"/>
        </w:rPr>
        <w:t xml:space="preserve">Afonso, F., Félix, P. M., </w:t>
      </w:r>
      <w:proofErr w:type="spellStart"/>
      <w:r w:rsidRPr="001A03A6">
        <w:rPr>
          <w:sz w:val="18"/>
          <w:szCs w:val="18"/>
        </w:rPr>
        <w:t>Chainho</w:t>
      </w:r>
      <w:proofErr w:type="spellEnd"/>
      <w:r w:rsidRPr="001A03A6">
        <w:rPr>
          <w:sz w:val="18"/>
          <w:szCs w:val="18"/>
        </w:rPr>
        <w:t xml:space="preserve">, P., </w:t>
      </w:r>
      <w:proofErr w:type="spellStart"/>
      <w:r w:rsidRPr="001A03A6">
        <w:rPr>
          <w:sz w:val="18"/>
          <w:szCs w:val="18"/>
        </w:rPr>
        <w:t>Heumüller</w:t>
      </w:r>
      <w:proofErr w:type="spellEnd"/>
      <w:r w:rsidRPr="001A03A6">
        <w:rPr>
          <w:sz w:val="18"/>
          <w:szCs w:val="18"/>
        </w:rPr>
        <w:t xml:space="preserve">, J. A., de Lima, R. F., Ribeiro, F., &amp; </w:t>
      </w:r>
      <w:proofErr w:type="spellStart"/>
      <w:r w:rsidRPr="001A03A6">
        <w:rPr>
          <w:sz w:val="18"/>
          <w:szCs w:val="18"/>
        </w:rPr>
        <w:t>Brito</w:t>
      </w:r>
      <w:proofErr w:type="spellEnd"/>
      <w:r w:rsidRPr="001A03A6">
        <w:rPr>
          <w:sz w:val="18"/>
          <w:szCs w:val="18"/>
        </w:rPr>
        <w:t xml:space="preserve">, A. C. (2022). </w:t>
      </w:r>
      <w:r w:rsidRPr="001A03A6">
        <w:rPr>
          <w:sz w:val="18"/>
          <w:szCs w:val="18"/>
          <w:lang w:val="en-US"/>
        </w:rPr>
        <w:t xml:space="preserve">Community perceptions about mangrove ecosystem services and threats. </w:t>
      </w:r>
      <w:r w:rsidRPr="001A03A6">
        <w:rPr>
          <w:rStyle w:val="Accentuation"/>
          <w:sz w:val="18"/>
          <w:szCs w:val="18"/>
          <w:lang w:val="en-US"/>
        </w:rPr>
        <w:t>Regional Studies in Marine Science, 49</w:t>
      </w:r>
      <w:r w:rsidRPr="001A03A6">
        <w:rPr>
          <w:sz w:val="18"/>
          <w:szCs w:val="18"/>
          <w:lang w:val="en-US"/>
        </w:rPr>
        <w:t>, 102114.</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lang w:val="en-US"/>
        </w:rPr>
        <w:t>Agimass</w:t>
      </w:r>
      <w:proofErr w:type="spellEnd"/>
      <w:r w:rsidRPr="001A03A6">
        <w:rPr>
          <w:sz w:val="18"/>
          <w:szCs w:val="18"/>
          <w:lang w:val="en-US"/>
        </w:rPr>
        <w:t xml:space="preserve">, F., </w:t>
      </w:r>
      <w:proofErr w:type="spellStart"/>
      <w:r w:rsidRPr="001A03A6">
        <w:rPr>
          <w:sz w:val="18"/>
          <w:szCs w:val="18"/>
          <w:lang w:val="en-US"/>
        </w:rPr>
        <w:t>Lundhede</w:t>
      </w:r>
      <w:proofErr w:type="spellEnd"/>
      <w:r w:rsidRPr="001A03A6">
        <w:rPr>
          <w:sz w:val="18"/>
          <w:szCs w:val="18"/>
          <w:lang w:val="en-US"/>
        </w:rPr>
        <w:t xml:space="preserve">, T., </w:t>
      </w:r>
      <w:proofErr w:type="spellStart"/>
      <w:r w:rsidRPr="001A03A6">
        <w:rPr>
          <w:sz w:val="18"/>
          <w:szCs w:val="18"/>
          <w:lang w:val="en-US"/>
        </w:rPr>
        <w:t>Panduro</w:t>
      </w:r>
      <w:proofErr w:type="spellEnd"/>
      <w:r w:rsidRPr="001A03A6">
        <w:rPr>
          <w:sz w:val="18"/>
          <w:szCs w:val="18"/>
          <w:lang w:val="en-US"/>
        </w:rPr>
        <w:t xml:space="preserve">, T. E., &amp; Jacobsen, J. B. (2018). The choice of forest site for recreation: A revealed preference analysis using spatial data. </w:t>
      </w:r>
      <w:proofErr w:type="spellStart"/>
      <w:r w:rsidRPr="001A03A6">
        <w:rPr>
          <w:rStyle w:val="Accentuation"/>
          <w:sz w:val="18"/>
          <w:szCs w:val="18"/>
        </w:rPr>
        <w:t>Ecosystem</w:t>
      </w:r>
      <w:proofErr w:type="spellEnd"/>
      <w:r w:rsidRPr="001A03A6">
        <w:rPr>
          <w:rStyle w:val="Accentuation"/>
          <w:sz w:val="18"/>
          <w:szCs w:val="18"/>
        </w:rPr>
        <w:t xml:space="preserve"> Services, 31</w:t>
      </w:r>
      <w:r w:rsidRPr="001A03A6">
        <w:rPr>
          <w:sz w:val="18"/>
          <w:szCs w:val="18"/>
        </w:rPr>
        <w:t xml:space="preserve">, 445–454. </w:t>
      </w:r>
      <w:hyperlink r:id="rId8" w:tgtFrame="_new" w:history="1">
        <w:r w:rsidRPr="001A03A6">
          <w:rPr>
            <w:rStyle w:val="Lienhypertexte"/>
            <w:sz w:val="18"/>
            <w:szCs w:val="18"/>
          </w:rPr>
          <w:t>https://doi.org/10.1016/j.ecoser.2017.11.016</w:t>
        </w:r>
      </w:hyperlink>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lang w:val="en-US"/>
        </w:rPr>
        <w:t>Ahononga</w:t>
      </w:r>
      <w:proofErr w:type="spellEnd"/>
      <w:r w:rsidRPr="001A03A6">
        <w:rPr>
          <w:sz w:val="18"/>
          <w:szCs w:val="18"/>
          <w:lang w:val="en-US"/>
        </w:rPr>
        <w:t xml:space="preserve">, F. C., </w:t>
      </w:r>
      <w:proofErr w:type="spellStart"/>
      <w:r w:rsidRPr="001A03A6">
        <w:rPr>
          <w:sz w:val="18"/>
          <w:szCs w:val="18"/>
          <w:lang w:val="en-US"/>
        </w:rPr>
        <w:t>Gouwakinnou</w:t>
      </w:r>
      <w:proofErr w:type="spellEnd"/>
      <w:r w:rsidRPr="001A03A6">
        <w:rPr>
          <w:sz w:val="18"/>
          <w:szCs w:val="18"/>
          <w:lang w:val="en-US"/>
        </w:rPr>
        <w:t xml:space="preserve">, G. N., &amp; </w:t>
      </w:r>
      <w:proofErr w:type="spellStart"/>
      <w:r w:rsidRPr="001A03A6">
        <w:rPr>
          <w:sz w:val="18"/>
          <w:szCs w:val="18"/>
          <w:lang w:val="en-US"/>
        </w:rPr>
        <w:t>Sorotori</w:t>
      </w:r>
      <w:proofErr w:type="spellEnd"/>
      <w:r w:rsidRPr="001A03A6">
        <w:rPr>
          <w:sz w:val="18"/>
          <w:szCs w:val="18"/>
          <w:lang w:val="en-US"/>
        </w:rPr>
        <w:t xml:space="preserve">, S. (2020). </w:t>
      </w:r>
      <w:r w:rsidRPr="001A03A6">
        <w:rPr>
          <w:sz w:val="18"/>
          <w:szCs w:val="18"/>
        </w:rPr>
        <w:t xml:space="preserve">Facteurs socio-économiques expliquant la déforestation et la dégradation des écosystèmes dans </w:t>
      </w:r>
      <w:proofErr w:type="gramStart"/>
      <w:r w:rsidRPr="001A03A6">
        <w:rPr>
          <w:sz w:val="18"/>
          <w:szCs w:val="18"/>
        </w:rPr>
        <w:t>les domaines soudanien</w:t>
      </w:r>
      <w:proofErr w:type="gramEnd"/>
      <w:r w:rsidRPr="001A03A6">
        <w:rPr>
          <w:sz w:val="18"/>
          <w:szCs w:val="18"/>
        </w:rPr>
        <w:t xml:space="preserve"> et soudano-guinéen du Bénin. </w:t>
      </w:r>
      <w:r w:rsidRPr="001A03A6">
        <w:rPr>
          <w:rStyle w:val="Accentuation"/>
          <w:sz w:val="18"/>
          <w:szCs w:val="18"/>
        </w:rPr>
        <w:t>Revue d'Écologie Africaine, 10</w:t>
      </w:r>
      <w:r w:rsidRPr="001A03A6">
        <w:rPr>
          <w:sz w:val="18"/>
          <w:szCs w:val="18"/>
        </w:rPr>
        <w:t>(2), 43–60.</w:t>
      </w:r>
    </w:p>
    <w:p w:rsidR="001A03A6" w:rsidRPr="001A03A6" w:rsidRDefault="001A03A6" w:rsidP="001A03A6">
      <w:pPr>
        <w:pStyle w:val="NormalWeb"/>
        <w:numPr>
          <w:ilvl w:val="0"/>
          <w:numId w:val="6"/>
        </w:numPr>
        <w:tabs>
          <w:tab w:val="clear" w:pos="720"/>
        </w:tabs>
        <w:ind w:left="284" w:hanging="284"/>
        <w:rPr>
          <w:sz w:val="18"/>
          <w:szCs w:val="18"/>
        </w:rPr>
      </w:pPr>
      <w:r w:rsidRPr="001A03A6">
        <w:rPr>
          <w:sz w:val="18"/>
          <w:szCs w:val="18"/>
        </w:rPr>
        <w:t xml:space="preserve">Albuquerque, U. P., et al. (2021). Connaissances locales et perception de la dynamique forestière dans les régions semi-arides du Brésil : Implications pour la conservation. </w:t>
      </w:r>
      <w:r w:rsidRPr="001A03A6">
        <w:rPr>
          <w:rStyle w:val="Accentuation"/>
          <w:sz w:val="18"/>
          <w:szCs w:val="18"/>
        </w:rPr>
        <w:t xml:space="preserve">Journal of </w:t>
      </w:r>
      <w:proofErr w:type="spellStart"/>
      <w:r w:rsidRPr="001A03A6">
        <w:rPr>
          <w:rStyle w:val="Accentuation"/>
          <w:sz w:val="18"/>
          <w:szCs w:val="18"/>
        </w:rPr>
        <w:t>Environmental</w:t>
      </w:r>
      <w:proofErr w:type="spellEnd"/>
      <w:r w:rsidRPr="001A03A6">
        <w:rPr>
          <w:rStyle w:val="Accentuation"/>
          <w:sz w:val="18"/>
          <w:szCs w:val="18"/>
        </w:rPr>
        <w:t xml:space="preserve"> Management</w:t>
      </w:r>
      <w:r w:rsidRPr="001A03A6">
        <w:rPr>
          <w:sz w:val="18"/>
          <w:szCs w:val="18"/>
        </w:rPr>
        <w:t>.</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rPr>
        <w:t>Alemayehu</w:t>
      </w:r>
      <w:proofErr w:type="spellEnd"/>
      <w:r w:rsidRPr="001A03A6">
        <w:rPr>
          <w:sz w:val="18"/>
          <w:szCs w:val="18"/>
        </w:rPr>
        <w:t xml:space="preserve">, T., &amp; Mengistu, T. (2020). Perception communautaire de la dégradation des forêts et implication pour la conservation : Le cas des zones semi-arides en Afrique de l’Est. </w:t>
      </w:r>
      <w:r w:rsidRPr="001A03A6">
        <w:rPr>
          <w:rStyle w:val="Accentuation"/>
          <w:sz w:val="18"/>
          <w:szCs w:val="18"/>
        </w:rPr>
        <w:t xml:space="preserve">Journal of </w:t>
      </w:r>
      <w:proofErr w:type="spellStart"/>
      <w:r w:rsidRPr="001A03A6">
        <w:rPr>
          <w:rStyle w:val="Accentuation"/>
          <w:sz w:val="18"/>
          <w:szCs w:val="18"/>
        </w:rPr>
        <w:t>Environmental</w:t>
      </w:r>
      <w:proofErr w:type="spellEnd"/>
      <w:r w:rsidRPr="001A03A6">
        <w:rPr>
          <w:rStyle w:val="Accentuation"/>
          <w:sz w:val="18"/>
          <w:szCs w:val="18"/>
        </w:rPr>
        <w:t xml:space="preserve"> Management</w:t>
      </w:r>
      <w:r w:rsidRPr="001A03A6">
        <w:rPr>
          <w:sz w:val="18"/>
          <w:szCs w:val="18"/>
        </w:rPr>
        <w:t>.</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lang w:val="en-US"/>
        </w:rPr>
        <w:t>Alemu</w:t>
      </w:r>
      <w:proofErr w:type="spellEnd"/>
      <w:r w:rsidRPr="001A03A6">
        <w:rPr>
          <w:sz w:val="18"/>
          <w:szCs w:val="18"/>
          <w:lang w:val="en-US"/>
        </w:rPr>
        <w:t xml:space="preserve">, T., </w:t>
      </w:r>
      <w:proofErr w:type="spellStart"/>
      <w:r w:rsidRPr="001A03A6">
        <w:rPr>
          <w:sz w:val="18"/>
          <w:szCs w:val="18"/>
          <w:lang w:val="en-US"/>
        </w:rPr>
        <w:t>Lasten</w:t>
      </w:r>
      <w:proofErr w:type="spellEnd"/>
      <w:r w:rsidRPr="001A03A6">
        <w:rPr>
          <w:sz w:val="18"/>
          <w:szCs w:val="18"/>
          <w:lang w:val="en-US"/>
        </w:rPr>
        <w:t xml:space="preserve">, H., &amp; Steer, I. (2021). Evaluating water-related ecosystem services in semi-arid regions. </w:t>
      </w:r>
      <w:r w:rsidRPr="001A03A6">
        <w:rPr>
          <w:rStyle w:val="Accentuation"/>
          <w:sz w:val="18"/>
          <w:szCs w:val="18"/>
        </w:rPr>
        <w:t>Water Resource Management, 12</w:t>
      </w:r>
      <w:r w:rsidRPr="001A03A6">
        <w:rPr>
          <w:sz w:val="18"/>
          <w:szCs w:val="18"/>
        </w:rPr>
        <w:t>(1), 105-120.</w:t>
      </w:r>
    </w:p>
    <w:p w:rsidR="001A03A6" w:rsidRPr="001A03A6" w:rsidRDefault="001A03A6" w:rsidP="001A03A6">
      <w:pPr>
        <w:pStyle w:val="NormalWeb"/>
        <w:numPr>
          <w:ilvl w:val="0"/>
          <w:numId w:val="6"/>
        </w:numPr>
        <w:tabs>
          <w:tab w:val="clear" w:pos="720"/>
        </w:tabs>
        <w:ind w:left="284" w:hanging="284"/>
        <w:rPr>
          <w:sz w:val="18"/>
          <w:szCs w:val="18"/>
        </w:rPr>
      </w:pPr>
      <w:r w:rsidRPr="001A03A6">
        <w:rPr>
          <w:sz w:val="18"/>
          <w:szCs w:val="18"/>
        </w:rPr>
        <w:t xml:space="preserve">Andres, K. (2021). Service </w:t>
      </w:r>
      <w:proofErr w:type="spellStart"/>
      <w:r w:rsidRPr="001A03A6">
        <w:rPr>
          <w:sz w:val="18"/>
          <w:szCs w:val="18"/>
        </w:rPr>
        <w:t>écosystémique</w:t>
      </w:r>
      <w:proofErr w:type="spellEnd"/>
      <w:r w:rsidRPr="001A03A6">
        <w:rPr>
          <w:sz w:val="18"/>
          <w:szCs w:val="18"/>
        </w:rPr>
        <w:t xml:space="preserve"> et biodiversité dans un climat en changement. </w:t>
      </w:r>
      <w:r w:rsidRPr="001A03A6">
        <w:rPr>
          <w:rStyle w:val="Accentuation"/>
          <w:sz w:val="18"/>
          <w:szCs w:val="18"/>
        </w:rPr>
        <w:t>Consilience: Le Journal du Développement Durable, 11</w:t>
      </w:r>
      <w:r w:rsidRPr="001A03A6">
        <w:rPr>
          <w:sz w:val="18"/>
          <w:szCs w:val="18"/>
        </w:rPr>
        <w:t>(1).</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lang w:val="en-US"/>
        </w:rPr>
        <w:t>Abas</w:t>
      </w:r>
      <w:proofErr w:type="spellEnd"/>
      <w:r w:rsidRPr="001A03A6">
        <w:rPr>
          <w:sz w:val="18"/>
          <w:szCs w:val="18"/>
          <w:lang w:val="en-US"/>
        </w:rPr>
        <w:t xml:space="preserve">, A. (2023). Valuation of visitor perception of urban forest ecosystem services in Kuala Lumpur. </w:t>
      </w:r>
      <w:proofErr w:type="spellStart"/>
      <w:r w:rsidRPr="001A03A6">
        <w:rPr>
          <w:rStyle w:val="Accentuation"/>
          <w:sz w:val="18"/>
          <w:szCs w:val="18"/>
        </w:rPr>
        <w:t>Urban</w:t>
      </w:r>
      <w:proofErr w:type="spellEnd"/>
      <w:r w:rsidRPr="001A03A6">
        <w:rPr>
          <w:rStyle w:val="Accentuation"/>
          <w:sz w:val="18"/>
          <w:szCs w:val="18"/>
        </w:rPr>
        <w:t xml:space="preserve"> </w:t>
      </w:r>
      <w:proofErr w:type="spellStart"/>
      <w:r w:rsidRPr="001A03A6">
        <w:rPr>
          <w:rStyle w:val="Accentuation"/>
          <w:sz w:val="18"/>
          <w:szCs w:val="18"/>
        </w:rPr>
        <w:t>Forestry</w:t>
      </w:r>
      <w:proofErr w:type="spellEnd"/>
      <w:r w:rsidRPr="001A03A6">
        <w:rPr>
          <w:rStyle w:val="Accentuation"/>
          <w:sz w:val="18"/>
          <w:szCs w:val="18"/>
        </w:rPr>
        <w:t xml:space="preserve"> &amp; </w:t>
      </w:r>
      <w:proofErr w:type="spellStart"/>
      <w:r w:rsidRPr="001A03A6">
        <w:rPr>
          <w:rStyle w:val="Accentuation"/>
          <w:sz w:val="18"/>
          <w:szCs w:val="18"/>
        </w:rPr>
        <w:t>Urban</w:t>
      </w:r>
      <w:proofErr w:type="spellEnd"/>
      <w:r w:rsidRPr="001A03A6">
        <w:rPr>
          <w:rStyle w:val="Accentuation"/>
          <w:sz w:val="18"/>
          <w:szCs w:val="18"/>
        </w:rPr>
        <w:t xml:space="preserve"> </w:t>
      </w:r>
      <w:proofErr w:type="spellStart"/>
      <w:r w:rsidRPr="001A03A6">
        <w:rPr>
          <w:rStyle w:val="Accentuation"/>
          <w:sz w:val="18"/>
          <w:szCs w:val="18"/>
        </w:rPr>
        <w:t>Greening</w:t>
      </w:r>
      <w:proofErr w:type="spellEnd"/>
      <w:r w:rsidRPr="001A03A6">
        <w:rPr>
          <w:sz w:val="18"/>
          <w:szCs w:val="18"/>
        </w:rPr>
        <w:t>.</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lang w:val="en-US"/>
        </w:rPr>
        <w:t>Balezi</w:t>
      </w:r>
      <w:proofErr w:type="spellEnd"/>
      <w:r w:rsidRPr="001A03A6">
        <w:rPr>
          <w:sz w:val="18"/>
          <w:szCs w:val="18"/>
          <w:lang w:val="en-US"/>
        </w:rPr>
        <w:t xml:space="preserve">, Z. (2023). Assessment of anthropogenic activities effect on the use of biological resources around the </w:t>
      </w:r>
      <w:proofErr w:type="spellStart"/>
      <w:r w:rsidRPr="001A03A6">
        <w:rPr>
          <w:sz w:val="18"/>
          <w:szCs w:val="18"/>
          <w:lang w:val="en-US"/>
        </w:rPr>
        <w:t>Kahuzi-Biega</w:t>
      </w:r>
      <w:proofErr w:type="spellEnd"/>
      <w:r w:rsidRPr="001A03A6">
        <w:rPr>
          <w:sz w:val="18"/>
          <w:szCs w:val="18"/>
          <w:lang w:val="en-US"/>
        </w:rPr>
        <w:t xml:space="preserve"> National Park highland's part (South-Kivu, DRC). </w:t>
      </w:r>
      <w:proofErr w:type="spellStart"/>
      <w:r w:rsidRPr="001A03A6">
        <w:rPr>
          <w:sz w:val="18"/>
          <w:szCs w:val="18"/>
        </w:rPr>
        <w:t>Retrieved</w:t>
      </w:r>
      <w:proofErr w:type="spellEnd"/>
      <w:r w:rsidRPr="001A03A6">
        <w:rPr>
          <w:sz w:val="18"/>
          <w:szCs w:val="18"/>
        </w:rPr>
        <w:t xml:space="preserve"> </w:t>
      </w:r>
      <w:proofErr w:type="spellStart"/>
      <w:r w:rsidRPr="001A03A6">
        <w:rPr>
          <w:sz w:val="18"/>
          <w:szCs w:val="18"/>
        </w:rPr>
        <w:t>from</w:t>
      </w:r>
      <w:proofErr w:type="spellEnd"/>
      <w:r w:rsidRPr="001A03A6">
        <w:rPr>
          <w:sz w:val="18"/>
          <w:szCs w:val="18"/>
        </w:rPr>
        <w:t xml:space="preserve"> </w:t>
      </w:r>
      <w:hyperlink r:id="rId9" w:tgtFrame="_new" w:history="1">
        <w:r w:rsidRPr="001A03A6">
          <w:rPr>
            <w:rStyle w:val="Lienhypertexte"/>
            <w:sz w:val="18"/>
            <w:szCs w:val="18"/>
          </w:rPr>
          <w:t>https://www.researchgate.net/publication/375583782</w:t>
        </w:r>
      </w:hyperlink>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rPr>
        <w:t>Baggi</w:t>
      </w:r>
      <w:proofErr w:type="spellEnd"/>
      <w:r w:rsidRPr="001A03A6">
        <w:rPr>
          <w:sz w:val="18"/>
          <w:szCs w:val="18"/>
        </w:rPr>
        <w:t xml:space="preserve">, E., et al. (2020). Le rôle fonctionnel des écosystèmes de zones humides secondaires dans la régulation des niveaux de phosphore dans la zone agricole des Everglades. </w:t>
      </w:r>
      <w:r w:rsidRPr="001A03A6">
        <w:rPr>
          <w:rStyle w:val="Accentuation"/>
          <w:sz w:val="18"/>
          <w:szCs w:val="18"/>
        </w:rPr>
        <w:t xml:space="preserve">Science of the Total </w:t>
      </w:r>
      <w:proofErr w:type="spellStart"/>
      <w:r w:rsidRPr="001A03A6">
        <w:rPr>
          <w:rStyle w:val="Accentuation"/>
          <w:sz w:val="18"/>
          <w:szCs w:val="18"/>
        </w:rPr>
        <w:t>Environment</w:t>
      </w:r>
      <w:proofErr w:type="spellEnd"/>
      <w:r w:rsidRPr="001A03A6">
        <w:rPr>
          <w:rStyle w:val="Accentuation"/>
          <w:sz w:val="18"/>
          <w:szCs w:val="18"/>
        </w:rPr>
        <w:t>, 715</w:t>
      </w:r>
      <w:r w:rsidRPr="001A03A6">
        <w:rPr>
          <w:sz w:val="18"/>
          <w:szCs w:val="18"/>
        </w:rPr>
        <w:t>, 136914.</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lang w:val="en-US"/>
        </w:rPr>
        <w:t>Berihu</w:t>
      </w:r>
      <w:proofErr w:type="spellEnd"/>
      <w:r w:rsidRPr="001A03A6">
        <w:rPr>
          <w:sz w:val="18"/>
          <w:szCs w:val="18"/>
          <w:lang w:val="en-US"/>
        </w:rPr>
        <w:t xml:space="preserve">, T., et al. (2024). Community perceptions towards the ecosystem services of urban forests in </w:t>
      </w:r>
      <w:proofErr w:type="spellStart"/>
      <w:r w:rsidRPr="001A03A6">
        <w:rPr>
          <w:sz w:val="18"/>
          <w:szCs w:val="18"/>
          <w:lang w:val="en-US"/>
        </w:rPr>
        <w:t>Mekelle</w:t>
      </w:r>
      <w:proofErr w:type="spellEnd"/>
      <w:r w:rsidRPr="001A03A6">
        <w:rPr>
          <w:sz w:val="18"/>
          <w:szCs w:val="18"/>
          <w:lang w:val="en-US"/>
        </w:rPr>
        <w:t xml:space="preserve">, </w:t>
      </w:r>
      <w:proofErr w:type="spellStart"/>
      <w:r w:rsidRPr="001A03A6">
        <w:rPr>
          <w:sz w:val="18"/>
          <w:szCs w:val="18"/>
          <w:lang w:val="en-US"/>
        </w:rPr>
        <w:t>Tigray</w:t>
      </w:r>
      <w:proofErr w:type="spellEnd"/>
      <w:r w:rsidRPr="001A03A6">
        <w:rPr>
          <w:sz w:val="18"/>
          <w:szCs w:val="18"/>
          <w:lang w:val="en-US"/>
        </w:rPr>
        <w:t xml:space="preserve">, Ethiopia. </w:t>
      </w:r>
      <w:r w:rsidRPr="001A03A6">
        <w:rPr>
          <w:rStyle w:val="Accentuation"/>
          <w:sz w:val="18"/>
          <w:szCs w:val="18"/>
        </w:rPr>
        <w:t xml:space="preserve">International Journal of </w:t>
      </w:r>
      <w:proofErr w:type="spellStart"/>
      <w:r w:rsidRPr="001A03A6">
        <w:rPr>
          <w:rStyle w:val="Accentuation"/>
          <w:sz w:val="18"/>
          <w:szCs w:val="18"/>
        </w:rPr>
        <w:t>Environmental</w:t>
      </w:r>
      <w:proofErr w:type="spellEnd"/>
      <w:r w:rsidRPr="001A03A6">
        <w:rPr>
          <w:rStyle w:val="Accentuation"/>
          <w:sz w:val="18"/>
          <w:szCs w:val="18"/>
        </w:rPr>
        <w:t xml:space="preserve"> </w:t>
      </w:r>
      <w:proofErr w:type="spellStart"/>
      <w:r w:rsidRPr="001A03A6">
        <w:rPr>
          <w:rStyle w:val="Accentuation"/>
          <w:sz w:val="18"/>
          <w:szCs w:val="18"/>
        </w:rPr>
        <w:t>Research</w:t>
      </w:r>
      <w:proofErr w:type="spellEnd"/>
      <w:r w:rsidRPr="001A03A6">
        <w:rPr>
          <w:rStyle w:val="Accentuation"/>
          <w:sz w:val="18"/>
          <w:szCs w:val="18"/>
        </w:rPr>
        <w:t xml:space="preserve"> and Public </w:t>
      </w:r>
      <w:proofErr w:type="spellStart"/>
      <w:r w:rsidRPr="001A03A6">
        <w:rPr>
          <w:rStyle w:val="Accentuation"/>
          <w:sz w:val="18"/>
          <w:szCs w:val="18"/>
        </w:rPr>
        <w:t>Health</w:t>
      </w:r>
      <w:proofErr w:type="spellEnd"/>
      <w:r w:rsidRPr="001A03A6">
        <w:rPr>
          <w:sz w:val="18"/>
          <w:szCs w:val="18"/>
        </w:rPr>
        <w:t>.</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rPr>
        <w:t>Bhagwat</w:t>
      </w:r>
      <w:proofErr w:type="spellEnd"/>
      <w:r w:rsidRPr="001A03A6">
        <w:rPr>
          <w:sz w:val="18"/>
          <w:szCs w:val="18"/>
        </w:rPr>
        <w:t xml:space="preserve">, S. A., et al. </w:t>
      </w:r>
      <w:r w:rsidRPr="001A03A6">
        <w:rPr>
          <w:sz w:val="18"/>
          <w:szCs w:val="18"/>
          <w:lang w:val="en-US"/>
        </w:rPr>
        <w:t xml:space="preserve">(2012). Local communities' perception of forest degradation in the Western Ghats of India. </w:t>
      </w:r>
      <w:r w:rsidRPr="001A03A6">
        <w:rPr>
          <w:rStyle w:val="Accentuation"/>
          <w:sz w:val="18"/>
          <w:szCs w:val="18"/>
        </w:rPr>
        <w:t xml:space="preserve">Forest </w:t>
      </w:r>
      <w:proofErr w:type="spellStart"/>
      <w:r w:rsidRPr="001A03A6">
        <w:rPr>
          <w:rStyle w:val="Accentuation"/>
          <w:sz w:val="18"/>
          <w:szCs w:val="18"/>
        </w:rPr>
        <w:t>Ecology</w:t>
      </w:r>
      <w:proofErr w:type="spellEnd"/>
      <w:r w:rsidRPr="001A03A6">
        <w:rPr>
          <w:rStyle w:val="Accentuation"/>
          <w:sz w:val="18"/>
          <w:szCs w:val="18"/>
        </w:rPr>
        <w:t xml:space="preserve"> and Management</w:t>
      </w:r>
      <w:r w:rsidRPr="001A03A6">
        <w:rPr>
          <w:sz w:val="18"/>
          <w:szCs w:val="18"/>
        </w:rPr>
        <w:t>.</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rPr>
        <w:t>Bakehe</w:t>
      </w:r>
      <w:proofErr w:type="spellEnd"/>
      <w:r w:rsidRPr="001A03A6">
        <w:rPr>
          <w:sz w:val="18"/>
          <w:szCs w:val="18"/>
        </w:rPr>
        <w:t xml:space="preserve">, N. P. (2018). Productivité agricole et déforestation dans le bassin du Congo. </w:t>
      </w:r>
      <w:proofErr w:type="spellStart"/>
      <w:r w:rsidRPr="001A03A6">
        <w:rPr>
          <w:rStyle w:val="Accentuation"/>
          <w:sz w:val="18"/>
          <w:szCs w:val="18"/>
        </w:rPr>
        <w:t>African</w:t>
      </w:r>
      <w:proofErr w:type="spellEnd"/>
      <w:r w:rsidRPr="001A03A6">
        <w:rPr>
          <w:rStyle w:val="Accentuation"/>
          <w:sz w:val="18"/>
          <w:szCs w:val="18"/>
        </w:rPr>
        <w:t xml:space="preserve"> Journal of Agricultural </w:t>
      </w:r>
      <w:proofErr w:type="spellStart"/>
      <w:r w:rsidRPr="001A03A6">
        <w:rPr>
          <w:rStyle w:val="Accentuation"/>
          <w:sz w:val="18"/>
          <w:szCs w:val="18"/>
        </w:rPr>
        <w:t>Research</w:t>
      </w:r>
      <w:proofErr w:type="spellEnd"/>
      <w:r w:rsidRPr="001A03A6">
        <w:rPr>
          <w:sz w:val="18"/>
          <w:szCs w:val="18"/>
        </w:rPr>
        <w:t>.</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lang w:val="en-US"/>
        </w:rPr>
        <w:t>Brancalion</w:t>
      </w:r>
      <w:proofErr w:type="spellEnd"/>
      <w:r w:rsidRPr="001A03A6">
        <w:rPr>
          <w:sz w:val="18"/>
          <w:szCs w:val="18"/>
          <w:lang w:val="en-US"/>
        </w:rPr>
        <w:t xml:space="preserve">, P. H., </w:t>
      </w:r>
      <w:proofErr w:type="spellStart"/>
      <w:r w:rsidRPr="001A03A6">
        <w:rPr>
          <w:sz w:val="18"/>
          <w:szCs w:val="18"/>
          <w:lang w:val="en-US"/>
        </w:rPr>
        <w:t>Chazdon</w:t>
      </w:r>
      <w:proofErr w:type="spellEnd"/>
      <w:r w:rsidRPr="001A03A6">
        <w:rPr>
          <w:sz w:val="18"/>
          <w:szCs w:val="18"/>
          <w:lang w:val="en-US"/>
        </w:rPr>
        <w:t xml:space="preserve">, R. L., &amp; Broadbent, E. N. (2020). Restoring forests as a means to many ends. </w:t>
      </w:r>
      <w:r w:rsidRPr="001A03A6">
        <w:rPr>
          <w:rStyle w:val="Accentuation"/>
          <w:sz w:val="18"/>
          <w:szCs w:val="18"/>
        </w:rPr>
        <w:t>Science, 368</w:t>
      </w:r>
      <w:r w:rsidRPr="001A03A6">
        <w:rPr>
          <w:sz w:val="18"/>
          <w:szCs w:val="18"/>
        </w:rPr>
        <w:t>(6490), 449-450.</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lang w:val="en-US"/>
        </w:rPr>
        <w:t>Belete</w:t>
      </w:r>
      <w:proofErr w:type="spellEnd"/>
      <w:r w:rsidRPr="001A03A6">
        <w:rPr>
          <w:sz w:val="18"/>
          <w:szCs w:val="18"/>
          <w:lang w:val="en-US"/>
        </w:rPr>
        <w:t xml:space="preserve">, F., </w:t>
      </w:r>
      <w:proofErr w:type="spellStart"/>
      <w:r w:rsidRPr="001A03A6">
        <w:rPr>
          <w:sz w:val="18"/>
          <w:szCs w:val="18"/>
          <w:lang w:val="en-US"/>
        </w:rPr>
        <w:t>Maryo</w:t>
      </w:r>
      <w:proofErr w:type="spellEnd"/>
      <w:r w:rsidRPr="001A03A6">
        <w:rPr>
          <w:sz w:val="18"/>
          <w:szCs w:val="18"/>
          <w:lang w:val="en-US"/>
        </w:rPr>
        <w:t xml:space="preserve">, M., &amp; </w:t>
      </w:r>
      <w:proofErr w:type="spellStart"/>
      <w:r w:rsidRPr="001A03A6">
        <w:rPr>
          <w:sz w:val="18"/>
          <w:szCs w:val="18"/>
          <w:lang w:val="en-US"/>
        </w:rPr>
        <w:t>Teka</w:t>
      </w:r>
      <w:proofErr w:type="spellEnd"/>
      <w:r w:rsidRPr="001A03A6">
        <w:rPr>
          <w:sz w:val="18"/>
          <w:szCs w:val="18"/>
          <w:lang w:val="en-US"/>
        </w:rPr>
        <w:t xml:space="preserve">, A. (2023). Land use/land cover dynamics and perception of the local communities in </w:t>
      </w:r>
      <w:proofErr w:type="spellStart"/>
      <w:r w:rsidRPr="001A03A6">
        <w:rPr>
          <w:sz w:val="18"/>
          <w:szCs w:val="18"/>
          <w:lang w:val="en-US"/>
        </w:rPr>
        <w:t>Bita</w:t>
      </w:r>
      <w:proofErr w:type="spellEnd"/>
      <w:r w:rsidRPr="001A03A6">
        <w:rPr>
          <w:sz w:val="18"/>
          <w:szCs w:val="18"/>
          <w:lang w:val="en-US"/>
        </w:rPr>
        <w:t xml:space="preserve"> district, southwestern Ethiopia. </w:t>
      </w:r>
      <w:r w:rsidRPr="001A03A6">
        <w:rPr>
          <w:rStyle w:val="Accentuation"/>
          <w:sz w:val="18"/>
          <w:szCs w:val="18"/>
        </w:rPr>
        <w:t>International Journal of River Basin Management, 21</w:t>
      </w:r>
      <w:r w:rsidRPr="001A03A6">
        <w:rPr>
          <w:sz w:val="18"/>
          <w:szCs w:val="18"/>
        </w:rPr>
        <w:t>(2), 211-222.</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rPr>
        <w:t>Bozongo</w:t>
      </w:r>
      <w:proofErr w:type="spellEnd"/>
      <w:r w:rsidRPr="001A03A6">
        <w:rPr>
          <w:sz w:val="18"/>
          <w:szCs w:val="18"/>
        </w:rPr>
        <w:t xml:space="preserve">, J. (2019). Les déterminants de la déforestation : cas du Bassin du Congo. </w:t>
      </w:r>
      <w:r w:rsidRPr="001A03A6">
        <w:rPr>
          <w:rStyle w:val="Accentuation"/>
          <w:sz w:val="18"/>
          <w:szCs w:val="18"/>
        </w:rPr>
        <w:t>Annale des Sciences Économiques et de Gestion, 18</w:t>
      </w:r>
      <w:r w:rsidRPr="001A03A6">
        <w:rPr>
          <w:sz w:val="18"/>
          <w:szCs w:val="18"/>
        </w:rPr>
        <w:t xml:space="preserve">(2), 45-56. </w:t>
      </w:r>
      <w:proofErr w:type="spellStart"/>
      <w:r w:rsidRPr="001A03A6">
        <w:rPr>
          <w:sz w:val="18"/>
          <w:szCs w:val="18"/>
        </w:rPr>
        <w:t>Retrieved</w:t>
      </w:r>
      <w:proofErr w:type="spellEnd"/>
      <w:r w:rsidRPr="001A03A6">
        <w:rPr>
          <w:sz w:val="18"/>
          <w:szCs w:val="18"/>
        </w:rPr>
        <w:t xml:space="preserve"> </w:t>
      </w:r>
      <w:proofErr w:type="spellStart"/>
      <w:r w:rsidRPr="001A03A6">
        <w:rPr>
          <w:sz w:val="18"/>
          <w:szCs w:val="18"/>
        </w:rPr>
        <w:t>from</w:t>
      </w:r>
      <w:proofErr w:type="spellEnd"/>
      <w:r w:rsidRPr="001A03A6">
        <w:rPr>
          <w:sz w:val="18"/>
          <w:szCs w:val="18"/>
        </w:rPr>
        <w:t xml:space="preserve"> </w:t>
      </w:r>
      <w:hyperlink r:id="rId10" w:tgtFrame="_new" w:history="1">
        <w:r w:rsidRPr="001A03A6">
          <w:rPr>
            <w:rStyle w:val="Lienhypertexte"/>
            <w:sz w:val="18"/>
            <w:szCs w:val="18"/>
          </w:rPr>
          <w:t>http://www.annalesumng.org/index.php/seg/article/view/646/182326</w:t>
        </w:r>
      </w:hyperlink>
    </w:p>
    <w:p w:rsidR="001A03A6" w:rsidRPr="001A03A6" w:rsidRDefault="001A03A6" w:rsidP="001A03A6">
      <w:pPr>
        <w:pStyle w:val="NormalWeb"/>
        <w:numPr>
          <w:ilvl w:val="0"/>
          <w:numId w:val="6"/>
        </w:numPr>
        <w:tabs>
          <w:tab w:val="clear" w:pos="720"/>
        </w:tabs>
        <w:ind w:left="284" w:hanging="284"/>
        <w:rPr>
          <w:sz w:val="18"/>
          <w:szCs w:val="18"/>
        </w:rPr>
      </w:pPr>
      <w:r w:rsidRPr="001A03A6">
        <w:rPr>
          <w:sz w:val="18"/>
          <w:szCs w:val="18"/>
        </w:rPr>
        <w:t xml:space="preserve">Caroline, M., et al. (2018). Analyse de la dynamique de déforestation par télédétection couplée aux modèles d’équations structurales: Exemple de la forêt </w:t>
      </w:r>
      <w:proofErr w:type="spellStart"/>
      <w:r w:rsidRPr="001A03A6">
        <w:rPr>
          <w:sz w:val="18"/>
          <w:szCs w:val="18"/>
        </w:rPr>
        <w:t>néphéliphile</w:t>
      </w:r>
      <w:proofErr w:type="spellEnd"/>
      <w:r w:rsidRPr="001A03A6">
        <w:rPr>
          <w:sz w:val="18"/>
          <w:szCs w:val="18"/>
        </w:rPr>
        <w:t xml:space="preserve"> du mont </w:t>
      </w:r>
      <w:proofErr w:type="spellStart"/>
      <w:r w:rsidRPr="001A03A6">
        <w:rPr>
          <w:sz w:val="18"/>
          <w:szCs w:val="18"/>
        </w:rPr>
        <w:t>Oku</w:t>
      </w:r>
      <w:proofErr w:type="spellEnd"/>
      <w:r w:rsidRPr="001A03A6">
        <w:rPr>
          <w:sz w:val="18"/>
          <w:szCs w:val="18"/>
        </w:rPr>
        <w:t xml:space="preserve"> (Cameroun). </w:t>
      </w:r>
      <w:r w:rsidRPr="001A03A6">
        <w:rPr>
          <w:rStyle w:val="Accentuation"/>
          <w:sz w:val="18"/>
          <w:szCs w:val="18"/>
        </w:rPr>
        <w:t>Revue d'Écologie Africaine, 43</w:t>
      </w:r>
      <w:r w:rsidRPr="001A03A6">
        <w:rPr>
          <w:sz w:val="18"/>
          <w:szCs w:val="18"/>
        </w:rPr>
        <w:t>(2), 35-48.</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rPr>
        <w:t>Cointat</w:t>
      </w:r>
      <w:proofErr w:type="spellEnd"/>
      <w:r w:rsidRPr="001A03A6">
        <w:rPr>
          <w:sz w:val="18"/>
          <w:szCs w:val="18"/>
        </w:rPr>
        <w:t xml:space="preserve">, M., et al. (2021). La dégradation des forêts dans le département du Gard. </w:t>
      </w:r>
      <w:r w:rsidRPr="001A03A6">
        <w:rPr>
          <w:rStyle w:val="Accentuation"/>
          <w:sz w:val="18"/>
          <w:szCs w:val="18"/>
        </w:rPr>
        <w:t>Revue Forestière Française, 74</w:t>
      </w:r>
      <w:r w:rsidRPr="001A03A6">
        <w:rPr>
          <w:sz w:val="18"/>
          <w:szCs w:val="18"/>
        </w:rPr>
        <w:t xml:space="preserve">(1), 99-113. </w:t>
      </w:r>
      <w:proofErr w:type="spellStart"/>
      <w:r w:rsidRPr="001A03A6">
        <w:rPr>
          <w:sz w:val="18"/>
          <w:szCs w:val="18"/>
        </w:rPr>
        <w:t>Retrieved</w:t>
      </w:r>
      <w:proofErr w:type="spellEnd"/>
      <w:r w:rsidRPr="001A03A6">
        <w:rPr>
          <w:sz w:val="18"/>
          <w:szCs w:val="18"/>
        </w:rPr>
        <w:t xml:space="preserve"> </w:t>
      </w:r>
      <w:proofErr w:type="spellStart"/>
      <w:r w:rsidRPr="001A03A6">
        <w:rPr>
          <w:sz w:val="18"/>
          <w:szCs w:val="18"/>
        </w:rPr>
        <w:t>from</w:t>
      </w:r>
      <w:proofErr w:type="spellEnd"/>
      <w:r w:rsidRPr="001A03A6">
        <w:rPr>
          <w:sz w:val="18"/>
          <w:szCs w:val="18"/>
        </w:rPr>
        <w:t xml:space="preserve"> https://hal.archives-ouvertes.fr/hal-03384218</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lang w:val="en-US"/>
        </w:rPr>
        <w:t>Costanza</w:t>
      </w:r>
      <w:proofErr w:type="spellEnd"/>
      <w:r w:rsidRPr="001A03A6">
        <w:rPr>
          <w:sz w:val="18"/>
          <w:szCs w:val="18"/>
          <w:lang w:val="en-US"/>
        </w:rPr>
        <w:t xml:space="preserve">, R., Corey, F., &amp; Smith, G. (2020). Natural capital and ecosystem services assessment. </w:t>
      </w:r>
      <w:proofErr w:type="spellStart"/>
      <w:r w:rsidRPr="001A03A6">
        <w:rPr>
          <w:rStyle w:val="Accentuation"/>
          <w:sz w:val="18"/>
          <w:szCs w:val="18"/>
        </w:rPr>
        <w:t>Ecosystem</w:t>
      </w:r>
      <w:proofErr w:type="spellEnd"/>
      <w:r w:rsidRPr="001A03A6">
        <w:rPr>
          <w:rStyle w:val="Accentuation"/>
          <w:sz w:val="18"/>
          <w:szCs w:val="18"/>
        </w:rPr>
        <w:t xml:space="preserve"> </w:t>
      </w:r>
      <w:proofErr w:type="spellStart"/>
      <w:r w:rsidRPr="001A03A6">
        <w:rPr>
          <w:rStyle w:val="Accentuation"/>
          <w:sz w:val="18"/>
          <w:szCs w:val="18"/>
        </w:rPr>
        <w:t>Assessment</w:t>
      </w:r>
      <w:proofErr w:type="spellEnd"/>
      <w:r w:rsidRPr="001A03A6">
        <w:rPr>
          <w:rStyle w:val="Accentuation"/>
          <w:sz w:val="18"/>
          <w:szCs w:val="18"/>
        </w:rPr>
        <w:t xml:space="preserve"> Journal, 3</w:t>
      </w:r>
      <w:r w:rsidRPr="001A03A6">
        <w:rPr>
          <w:sz w:val="18"/>
          <w:szCs w:val="18"/>
        </w:rPr>
        <w:t>(4), 65-80.</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rPr>
        <w:t>Dahhlin</w:t>
      </w:r>
      <w:proofErr w:type="spellEnd"/>
      <w:r w:rsidRPr="001A03A6">
        <w:rPr>
          <w:sz w:val="18"/>
          <w:szCs w:val="18"/>
        </w:rPr>
        <w:t xml:space="preserve">, C., et al. (2019). Les services </w:t>
      </w:r>
      <w:proofErr w:type="spellStart"/>
      <w:r w:rsidRPr="001A03A6">
        <w:rPr>
          <w:sz w:val="18"/>
          <w:szCs w:val="18"/>
        </w:rPr>
        <w:t>écosystémiques</w:t>
      </w:r>
      <w:proofErr w:type="spellEnd"/>
      <w:r w:rsidRPr="001A03A6">
        <w:rPr>
          <w:sz w:val="18"/>
          <w:szCs w:val="18"/>
        </w:rPr>
        <w:t xml:space="preserve"> comme assurance biologique pour les récifs coralliens: La biodiversité est-elle la réponse? </w:t>
      </w:r>
      <w:r w:rsidRPr="001A03A6">
        <w:rPr>
          <w:rStyle w:val="Accentuation"/>
          <w:sz w:val="18"/>
          <w:szCs w:val="18"/>
        </w:rPr>
        <w:t>Tendances en Écologie et Évolution, 34</w:t>
      </w:r>
      <w:r w:rsidRPr="001A03A6">
        <w:rPr>
          <w:sz w:val="18"/>
          <w:szCs w:val="18"/>
        </w:rPr>
        <w:t>(5), 477-491.</w:t>
      </w:r>
    </w:p>
    <w:p w:rsidR="001A03A6" w:rsidRPr="001A03A6" w:rsidRDefault="001A03A6" w:rsidP="001A03A6">
      <w:pPr>
        <w:pStyle w:val="NormalWeb"/>
        <w:numPr>
          <w:ilvl w:val="0"/>
          <w:numId w:val="6"/>
        </w:numPr>
        <w:tabs>
          <w:tab w:val="clear" w:pos="720"/>
        </w:tabs>
        <w:ind w:left="284" w:hanging="284"/>
        <w:rPr>
          <w:sz w:val="18"/>
          <w:szCs w:val="18"/>
        </w:rPr>
      </w:pPr>
      <w:r w:rsidRPr="001A03A6">
        <w:rPr>
          <w:sz w:val="18"/>
          <w:szCs w:val="18"/>
          <w:lang w:val="en-US"/>
        </w:rPr>
        <w:t xml:space="preserve">Daily, G. C., </w:t>
      </w:r>
      <w:proofErr w:type="spellStart"/>
      <w:r w:rsidRPr="001A03A6">
        <w:rPr>
          <w:sz w:val="18"/>
          <w:szCs w:val="18"/>
          <w:lang w:val="en-US"/>
        </w:rPr>
        <w:t>Oraura</w:t>
      </w:r>
      <w:proofErr w:type="spellEnd"/>
      <w:r w:rsidRPr="001A03A6">
        <w:rPr>
          <w:sz w:val="18"/>
          <w:szCs w:val="18"/>
          <w:lang w:val="en-US"/>
        </w:rPr>
        <w:t xml:space="preserve">, B., &amp; Sven, C. (2019). Economic analysis of biodiversity conservation. </w:t>
      </w:r>
      <w:r w:rsidRPr="001A03A6">
        <w:rPr>
          <w:rStyle w:val="Accentuation"/>
          <w:sz w:val="18"/>
          <w:szCs w:val="18"/>
        </w:rPr>
        <w:t xml:space="preserve">Conservation </w:t>
      </w:r>
      <w:proofErr w:type="spellStart"/>
      <w:r w:rsidRPr="001A03A6">
        <w:rPr>
          <w:rStyle w:val="Accentuation"/>
          <w:sz w:val="18"/>
          <w:szCs w:val="18"/>
        </w:rPr>
        <w:t>Economics</w:t>
      </w:r>
      <w:proofErr w:type="spellEnd"/>
      <w:r w:rsidRPr="001A03A6">
        <w:rPr>
          <w:rStyle w:val="Accentuation"/>
          <w:sz w:val="18"/>
          <w:szCs w:val="18"/>
        </w:rPr>
        <w:t>, 5</w:t>
      </w:r>
      <w:r w:rsidRPr="001A03A6">
        <w:rPr>
          <w:sz w:val="18"/>
          <w:szCs w:val="18"/>
        </w:rPr>
        <w:t>(2), 75-90.</w:t>
      </w:r>
    </w:p>
    <w:p w:rsidR="001A03A6" w:rsidRPr="001A03A6" w:rsidRDefault="001A03A6" w:rsidP="001A03A6">
      <w:pPr>
        <w:pStyle w:val="NormalWeb"/>
        <w:numPr>
          <w:ilvl w:val="0"/>
          <w:numId w:val="6"/>
        </w:numPr>
        <w:tabs>
          <w:tab w:val="clear" w:pos="720"/>
        </w:tabs>
        <w:ind w:left="284" w:hanging="284"/>
        <w:rPr>
          <w:sz w:val="18"/>
          <w:szCs w:val="18"/>
        </w:rPr>
      </w:pPr>
      <w:r w:rsidRPr="001A03A6">
        <w:rPr>
          <w:sz w:val="18"/>
          <w:szCs w:val="18"/>
          <w:lang w:val="en-US"/>
        </w:rPr>
        <w:t xml:space="preserve">Diaz, S., et al. (2018). Pervasive human-driven decline of life on Earth points to the need for transformative change. </w:t>
      </w:r>
      <w:r w:rsidRPr="001A03A6">
        <w:rPr>
          <w:rStyle w:val="Accentuation"/>
          <w:sz w:val="18"/>
          <w:szCs w:val="18"/>
        </w:rPr>
        <w:t>Nature</w:t>
      </w:r>
      <w:r w:rsidRPr="001A03A6">
        <w:rPr>
          <w:sz w:val="18"/>
          <w:szCs w:val="18"/>
        </w:rPr>
        <w:t xml:space="preserve">, </w:t>
      </w:r>
      <w:r w:rsidRPr="001A03A6">
        <w:rPr>
          <w:rStyle w:val="Accentuation"/>
          <w:sz w:val="18"/>
          <w:szCs w:val="18"/>
        </w:rPr>
        <w:t>536</w:t>
      </w:r>
      <w:r w:rsidRPr="001A03A6">
        <w:rPr>
          <w:sz w:val="18"/>
          <w:szCs w:val="18"/>
        </w:rPr>
        <w:t>, 241-245.</w:t>
      </w:r>
    </w:p>
    <w:p w:rsidR="001A03A6" w:rsidRPr="001A03A6" w:rsidRDefault="001A03A6" w:rsidP="001A03A6">
      <w:pPr>
        <w:pStyle w:val="NormalWeb"/>
        <w:numPr>
          <w:ilvl w:val="0"/>
          <w:numId w:val="6"/>
        </w:numPr>
        <w:tabs>
          <w:tab w:val="clear" w:pos="720"/>
        </w:tabs>
        <w:ind w:left="284" w:hanging="284"/>
        <w:rPr>
          <w:sz w:val="18"/>
          <w:szCs w:val="18"/>
        </w:rPr>
      </w:pPr>
      <w:r w:rsidRPr="001A03A6">
        <w:rPr>
          <w:sz w:val="18"/>
          <w:szCs w:val="18"/>
          <w:lang w:val="en-US"/>
        </w:rPr>
        <w:t xml:space="preserve">Elizabeth, A., et al. (2024). Perceptions and knowledge of ecosystem services in urban river systems, Eastern Cape, South Africa. </w:t>
      </w:r>
      <w:proofErr w:type="spellStart"/>
      <w:r w:rsidRPr="001A03A6">
        <w:rPr>
          <w:rStyle w:val="Accentuation"/>
          <w:sz w:val="18"/>
          <w:szCs w:val="18"/>
        </w:rPr>
        <w:t>Urban</w:t>
      </w:r>
      <w:proofErr w:type="spellEnd"/>
      <w:r w:rsidRPr="001A03A6">
        <w:rPr>
          <w:rStyle w:val="Accentuation"/>
          <w:sz w:val="18"/>
          <w:szCs w:val="18"/>
        </w:rPr>
        <w:t xml:space="preserve"> </w:t>
      </w:r>
      <w:proofErr w:type="spellStart"/>
      <w:r w:rsidRPr="001A03A6">
        <w:rPr>
          <w:rStyle w:val="Accentuation"/>
          <w:sz w:val="18"/>
          <w:szCs w:val="18"/>
        </w:rPr>
        <w:t>Ecosystems</w:t>
      </w:r>
      <w:proofErr w:type="spellEnd"/>
      <w:r w:rsidRPr="001A03A6">
        <w:rPr>
          <w:sz w:val="18"/>
          <w:szCs w:val="18"/>
        </w:rPr>
        <w:t>. https://doi.org/10.1007/s11252-024-01562-w</w:t>
      </w:r>
    </w:p>
    <w:p w:rsidR="001A03A6" w:rsidRPr="001A03A6" w:rsidRDefault="001A03A6" w:rsidP="001A03A6">
      <w:pPr>
        <w:pStyle w:val="NormalWeb"/>
        <w:numPr>
          <w:ilvl w:val="0"/>
          <w:numId w:val="6"/>
        </w:numPr>
        <w:tabs>
          <w:tab w:val="clear" w:pos="720"/>
        </w:tabs>
        <w:ind w:left="284" w:hanging="284"/>
        <w:rPr>
          <w:sz w:val="18"/>
          <w:szCs w:val="18"/>
        </w:rPr>
      </w:pPr>
      <w:r w:rsidRPr="001A03A6">
        <w:rPr>
          <w:sz w:val="18"/>
          <w:szCs w:val="18"/>
          <w:lang w:val="en-US"/>
        </w:rPr>
        <w:t xml:space="preserve">Ellis, E. C., </w:t>
      </w:r>
      <w:proofErr w:type="spellStart"/>
      <w:r w:rsidRPr="001A03A6">
        <w:rPr>
          <w:sz w:val="18"/>
          <w:szCs w:val="18"/>
          <w:lang w:val="en-US"/>
        </w:rPr>
        <w:t>Anany</w:t>
      </w:r>
      <w:proofErr w:type="spellEnd"/>
      <w:r w:rsidRPr="001A03A6">
        <w:rPr>
          <w:sz w:val="18"/>
          <w:szCs w:val="18"/>
          <w:lang w:val="en-US"/>
        </w:rPr>
        <w:t xml:space="preserve">, N., &amp; Yell, O. (2019). Human impacts on grassland ecosystem services. </w:t>
      </w:r>
      <w:proofErr w:type="spellStart"/>
      <w:r w:rsidRPr="001A03A6">
        <w:rPr>
          <w:rStyle w:val="Accentuation"/>
          <w:sz w:val="18"/>
          <w:szCs w:val="18"/>
        </w:rPr>
        <w:t>Grassland</w:t>
      </w:r>
      <w:proofErr w:type="spellEnd"/>
      <w:r w:rsidRPr="001A03A6">
        <w:rPr>
          <w:rStyle w:val="Accentuation"/>
          <w:sz w:val="18"/>
          <w:szCs w:val="18"/>
        </w:rPr>
        <w:t xml:space="preserve"> Science </w:t>
      </w:r>
      <w:proofErr w:type="spellStart"/>
      <w:r w:rsidRPr="001A03A6">
        <w:rPr>
          <w:rStyle w:val="Accentuation"/>
          <w:sz w:val="18"/>
          <w:szCs w:val="18"/>
        </w:rPr>
        <w:t>Review</w:t>
      </w:r>
      <w:proofErr w:type="spellEnd"/>
      <w:r w:rsidRPr="001A03A6">
        <w:rPr>
          <w:rStyle w:val="Accentuation"/>
          <w:sz w:val="18"/>
          <w:szCs w:val="18"/>
        </w:rPr>
        <w:t>, 5</w:t>
      </w:r>
      <w:r w:rsidRPr="001A03A6">
        <w:rPr>
          <w:sz w:val="18"/>
          <w:szCs w:val="18"/>
        </w:rPr>
        <w:t>(3), 80-95.</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lang w:val="en-US"/>
        </w:rPr>
        <w:t>Erdelen</w:t>
      </w:r>
      <w:proofErr w:type="spellEnd"/>
      <w:r w:rsidRPr="001A03A6">
        <w:rPr>
          <w:sz w:val="18"/>
          <w:szCs w:val="18"/>
          <w:lang w:val="en-US"/>
        </w:rPr>
        <w:t xml:space="preserve">, W. R. (2020). Shaping the fate of life on Earth: The post-2020 global biodiversity framework. </w:t>
      </w:r>
      <w:r w:rsidRPr="001A03A6">
        <w:rPr>
          <w:rStyle w:val="Accentuation"/>
          <w:sz w:val="18"/>
          <w:szCs w:val="18"/>
        </w:rPr>
        <w:t>Global Policy, 11</w:t>
      </w:r>
      <w:r w:rsidRPr="001A03A6">
        <w:rPr>
          <w:sz w:val="18"/>
          <w:szCs w:val="18"/>
        </w:rPr>
        <w:t>, 347-359.</w:t>
      </w:r>
    </w:p>
    <w:p w:rsidR="001A03A6" w:rsidRPr="001A03A6" w:rsidRDefault="001A03A6" w:rsidP="001A03A6">
      <w:pPr>
        <w:pStyle w:val="NormalWeb"/>
        <w:numPr>
          <w:ilvl w:val="0"/>
          <w:numId w:val="6"/>
        </w:numPr>
        <w:tabs>
          <w:tab w:val="clear" w:pos="720"/>
        </w:tabs>
        <w:ind w:left="284" w:hanging="284"/>
        <w:rPr>
          <w:sz w:val="18"/>
          <w:szCs w:val="18"/>
        </w:rPr>
      </w:pPr>
      <w:r w:rsidRPr="001A03A6">
        <w:rPr>
          <w:sz w:val="18"/>
          <w:szCs w:val="18"/>
          <w:lang w:val="en-US"/>
        </w:rPr>
        <w:t xml:space="preserve">Ferguson, S., et al. (2022). The structuration of armed mobilization in eastern DRC’s </w:t>
      </w:r>
      <w:proofErr w:type="spellStart"/>
      <w:r w:rsidRPr="001A03A6">
        <w:rPr>
          <w:sz w:val="18"/>
          <w:szCs w:val="18"/>
          <w:lang w:val="en-US"/>
        </w:rPr>
        <w:t>Kahuzi-Biega</w:t>
      </w:r>
      <w:proofErr w:type="spellEnd"/>
      <w:r w:rsidRPr="001A03A6">
        <w:rPr>
          <w:sz w:val="18"/>
          <w:szCs w:val="18"/>
          <w:lang w:val="en-US"/>
        </w:rPr>
        <w:t xml:space="preserve"> National Park. </w:t>
      </w:r>
      <w:proofErr w:type="spellStart"/>
      <w:r w:rsidRPr="001A03A6">
        <w:rPr>
          <w:rStyle w:val="Accentuation"/>
          <w:sz w:val="18"/>
          <w:szCs w:val="18"/>
        </w:rPr>
        <w:t>Conflict</w:t>
      </w:r>
      <w:proofErr w:type="spellEnd"/>
      <w:r w:rsidRPr="001A03A6">
        <w:rPr>
          <w:rStyle w:val="Accentuation"/>
          <w:sz w:val="18"/>
          <w:szCs w:val="18"/>
        </w:rPr>
        <w:t xml:space="preserve">, Security &amp; </w:t>
      </w:r>
      <w:proofErr w:type="spellStart"/>
      <w:r w:rsidRPr="001A03A6">
        <w:rPr>
          <w:rStyle w:val="Accentuation"/>
          <w:sz w:val="18"/>
          <w:szCs w:val="18"/>
        </w:rPr>
        <w:t>Development</w:t>
      </w:r>
      <w:proofErr w:type="spellEnd"/>
      <w:r w:rsidRPr="001A03A6">
        <w:rPr>
          <w:rStyle w:val="Accentuation"/>
          <w:sz w:val="18"/>
          <w:szCs w:val="18"/>
        </w:rPr>
        <w:t>, 22</w:t>
      </w:r>
      <w:r w:rsidRPr="001A03A6">
        <w:rPr>
          <w:sz w:val="18"/>
          <w:szCs w:val="18"/>
        </w:rPr>
        <w:t>(2), 123-145.</w:t>
      </w:r>
    </w:p>
    <w:p w:rsidR="001A03A6" w:rsidRPr="001A03A6" w:rsidRDefault="001A03A6" w:rsidP="001A03A6">
      <w:pPr>
        <w:pStyle w:val="NormalWeb"/>
        <w:numPr>
          <w:ilvl w:val="0"/>
          <w:numId w:val="6"/>
        </w:numPr>
        <w:tabs>
          <w:tab w:val="clear" w:pos="720"/>
        </w:tabs>
        <w:ind w:left="284" w:hanging="284"/>
        <w:rPr>
          <w:sz w:val="18"/>
          <w:szCs w:val="18"/>
        </w:rPr>
      </w:pPr>
      <w:r w:rsidRPr="001A03A6">
        <w:rPr>
          <w:sz w:val="18"/>
          <w:szCs w:val="18"/>
        </w:rPr>
        <w:t xml:space="preserve">Garcia Matos, C. (2023). Identification des services </w:t>
      </w:r>
      <w:proofErr w:type="spellStart"/>
      <w:r w:rsidRPr="001A03A6">
        <w:rPr>
          <w:sz w:val="18"/>
          <w:szCs w:val="18"/>
        </w:rPr>
        <w:t>écosystémiques</w:t>
      </w:r>
      <w:proofErr w:type="spellEnd"/>
      <w:r w:rsidRPr="001A03A6">
        <w:rPr>
          <w:sz w:val="18"/>
          <w:szCs w:val="18"/>
        </w:rPr>
        <w:t xml:space="preserve"> d’intérêt et évaluation de l’acceptabilité sociale de pratiques de compensation écologique dans la province du </w:t>
      </w:r>
      <w:proofErr w:type="spellStart"/>
      <w:r w:rsidRPr="001A03A6">
        <w:rPr>
          <w:sz w:val="18"/>
          <w:szCs w:val="18"/>
        </w:rPr>
        <w:t>Dornogobi</w:t>
      </w:r>
      <w:proofErr w:type="spellEnd"/>
      <w:r w:rsidRPr="001A03A6">
        <w:rPr>
          <w:sz w:val="18"/>
          <w:szCs w:val="18"/>
        </w:rPr>
        <w:t xml:space="preserve"> en Mongolie. </w:t>
      </w:r>
      <w:r w:rsidRPr="001A03A6">
        <w:rPr>
          <w:rStyle w:val="Accentuation"/>
          <w:sz w:val="18"/>
          <w:szCs w:val="18"/>
        </w:rPr>
        <w:t>Revue d’Écologie, 15</w:t>
      </w:r>
      <w:r w:rsidRPr="001A03A6">
        <w:rPr>
          <w:sz w:val="18"/>
          <w:szCs w:val="18"/>
        </w:rPr>
        <w:t>, 23-40.</w:t>
      </w:r>
    </w:p>
    <w:p w:rsidR="001A03A6" w:rsidRPr="001A03A6" w:rsidRDefault="001A03A6" w:rsidP="001A03A6">
      <w:pPr>
        <w:pStyle w:val="NormalWeb"/>
        <w:numPr>
          <w:ilvl w:val="0"/>
          <w:numId w:val="6"/>
        </w:numPr>
        <w:tabs>
          <w:tab w:val="clear" w:pos="720"/>
        </w:tabs>
        <w:ind w:left="284" w:hanging="284"/>
        <w:rPr>
          <w:sz w:val="18"/>
          <w:szCs w:val="18"/>
        </w:rPr>
      </w:pPr>
      <w:r w:rsidRPr="001A03A6">
        <w:rPr>
          <w:sz w:val="18"/>
          <w:szCs w:val="18"/>
        </w:rPr>
        <w:t>García-</w:t>
      </w:r>
      <w:proofErr w:type="spellStart"/>
      <w:r w:rsidRPr="001A03A6">
        <w:rPr>
          <w:sz w:val="18"/>
          <w:szCs w:val="18"/>
        </w:rPr>
        <w:t>Llorente</w:t>
      </w:r>
      <w:proofErr w:type="spellEnd"/>
      <w:r w:rsidRPr="001A03A6">
        <w:rPr>
          <w:sz w:val="18"/>
          <w:szCs w:val="18"/>
        </w:rPr>
        <w:t xml:space="preserve">, M., et al. </w:t>
      </w:r>
      <w:r w:rsidRPr="001A03A6">
        <w:rPr>
          <w:sz w:val="18"/>
          <w:szCs w:val="18"/>
          <w:lang w:val="en-US"/>
        </w:rPr>
        <w:t xml:space="preserve">(2012). Perception of local communities on forest degradation in rural areas of Sierra de </w:t>
      </w:r>
      <w:proofErr w:type="spellStart"/>
      <w:r w:rsidRPr="001A03A6">
        <w:rPr>
          <w:sz w:val="18"/>
          <w:szCs w:val="18"/>
          <w:lang w:val="en-US"/>
        </w:rPr>
        <w:t>Guadarrama</w:t>
      </w:r>
      <w:proofErr w:type="spellEnd"/>
      <w:r w:rsidRPr="001A03A6">
        <w:rPr>
          <w:sz w:val="18"/>
          <w:szCs w:val="18"/>
          <w:lang w:val="en-US"/>
        </w:rPr>
        <w:t xml:space="preserve">, Spain. </w:t>
      </w:r>
      <w:r w:rsidRPr="001A03A6">
        <w:rPr>
          <w:rStyle w:val="Accentuation"/>
          <w:sz w:val="18"/>
          <w:szCs w:val="18"/>
        </w:rPr>
        <w:t xml:space="preserve">Forest Policy and </w:t>
      </w:r>
      <w:proofErr w:type="spellStart"/>
      <w:r w:rsidRPr="001A03A6">
        <w:rPr>
          <w:rStyle w:val="Accentuation"/>
          <w:sz w:val="18"/>
          <w:szCs w:val="18"/>
        </w:rPr>
        <w:t>Economics</w:t>
      </w:r>
      <w:proofErr w:type="spellEnd"/>
      <w:r w:rsidRPr="001A03A6">
        <w:rPr>
          <w:rStyle w:val="Accentuation"/>
          <w:sz w:val="18"/>
          <w:szCs w:val="18"/>
        </w:rPr>
        <w:t>, 16</w:t>
      </w:r>
      <w:r w:rsidRPr="001A03A6">
        <w:rPr>
          <w:sz w:val="18"/>
          <w:szCs w:val="18"/>
        </w:rPr>
        <w:t>(3), 25-34.</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rPr>
        <w:t>Imani</w:t>
      </w:r>
      <w:proofErr w:type="spellEnd"/>
      <w:r w:rsidRPr="001A03A6">
        <w:rPr>
          <w:sz w:val="18"/>
          <w:szCs w:val="18"/>
        </w:rPr>
        <w:t xml:space="preserve">, G. (2017). Diversité arborescente et stocks de carbone dans les forêts de montagne du Rift Albertin de </w:t>
      </w:r>
      <w:proofErr w:type="spellStart"/>
      <w:r w:rsidRPr="001A03A6">
        <w:rPr>
          <w:sz w:val="18"/>
          <w:szCs w:val="18"/>
        </w:rPr>
        <w:t>Kahuzi-Biega</w:t>
      </w:r>
      <w:proofErr w:type="spellEnd"/>
      <w:r w:rsidRPr="001A03A6">
        <w:rPr>
          <w:sz w:val="18"/>
          <w:szCs w:val="18"/>
        </w:rPr>
        <w:t xml:space="preserve">, République Démocratique du Congo. </w:t>
      </w:r>
      <w:r w:rsidRPr="001A03A6">
        <w:rPr>
          <w:rStyle w:val="Accentuation"/>
          <w:sz w:val="18"/>
          <w:szCs w:val="18"/>
        </w:rPr>
        <w:t xml:space="preserve">Journal of </w:t>
      </w:r>
      <w:proofErr w:type="spellStart"/>
      <w:r w:rsidRPr="001A03A6">
        <w:rPr>
          <w:rStyle w:val="Accentuation"/>
          <w:sz w:val="18"/>
          <w:szCs w:val="18"/>
        </w:rPr>
        <w:t>Forestry</w:t>
      </w:r>
      <w:proofErr w:type="spellEnd"/>
      <w:r w:rsidRPr="001A03A6">
        <w:rPr>
          <w:rStyle w:val="Accentuation"/>
          <w:sz w:val="18"/>
          <w:szCs w:val="18"/>
        </w:rPr>
        <w:t xml:space="preserve"> </w:t>
      </w:r>
      <w:proofErr w:type="spellStart"/>
      <w:r w:rsidRPr="001A03A6">
        <w:rPr>
          <w:rStyle w:val="Accentuation"/>
          <w:sz w:val="18"/>
          <w:szCs w:val="18"/>
        </w:rPr>
        <w:t>Research</w:t>
      </w:r>
      <w:proofErr w:type="spellEnd"/>
      <w:r w:rsidRPr="001A03A6">
        <w:rPr>
          <w:sz w:val="18"/>
          <w:szCs w:val="18"/>
        </w:rPr>
        <w:t>. DOI: 10.13140/RG.2.2.16685.91361</w:t>
      </w:r>
    </w:p>
    <w:p w:rsidR="001A03A6" w:rsidRPr="001A03A6" w:rsidRDefault="001A03A6" w:rsidP="001A03A6">
      <w:pPr>
        <w:pStyle w:val="NormalWeb"/>
        <w:numPr>
          <w:ilvl w:val="0"/>
          <w:numId w:val="6"/>
        </w:numPr>
        <w:tabs>
          <w:tab w:val="clear" w:pos="720"/>
        </w:tabs>
        <w:ind w:left="284" w:hanging="284"/>
        <w:rPr>
          <w:sz w:val="18"/>
          <w:szCs w:val="18"/>
        </w:rPr>
      </w:pPr>
      <w:r w:rsidRPr="001A03A6">
        <w:rPr>
          <w:sz w:val="18"/>
          <w:szCs w:val="18"/>
        </w:rPr>
        <w:t xml:space="preserve">Gillet, P., et al. (2018). Quelles sont les causes de la déforestation dans le bassin du Congo ? Synthèse bibliographique et études de cas. </w:t>
      </w:r>
      <w:r w:rsidRPr="001A03A6">
        <w:rPr>
          <w:rStyle w:val="Accentuation"/>
          <w:sz w:val="18"/>
          <w:szCs w:val="18"/>
        </w:rPr>
        <w:t xml:space="preserve">Journal of Forest </w:t>
      </w:r>
      <w:proofErr w:type="spellStart"/>
      <w:r w:rsidRPr="001A03A6">
        <w:rPr>
          <w:rStyle w:val="Accentuation"/>
          <w:sz w:val="18"/>
          <w:szCs w:val="18"/>
        </w:rPr>
        <w:t>Economics</w:t>
      </w:r>
      <w:proofErr w:type="spellEnd"/>
      <w:r w:rsidRPr="001A03A6">
        <w:rPr>
          <w:rStyle w:val="Accentuation"/>
          <w:sz w:val="18"/>
          <w:szCs w:val="18"/>
        </w:rPr>
        <w:t>, 20</w:t>
      </w:r>
      <w:r w:rsidRPr="001A03A6">
        <w:rPr>
          <w:sz w:val="18"/>
          <w:szCs w:val="18"/>
        </w:rPr>
        <w:t>(2), 183–194.</w:t>
      </w:r>
    </w:p>
    <w:p w:rsidR="001A03A6" w:rsidRPr="001A03A6" w:rsidRDefault="001A03A6" w:rsidP="001A03A6">
      <w:pPr>
        <w:pStyle w:val="NormalWeb"/>
        <w:numPr>
          <w:ilvl w:val="0"/>
          <w:numId w:val="6"/>
        </w:numPr>
        <w:tabs>
          <w:tab w:val="clear" w:pos="720"/>
        </w:tabs>
        <w:ind w:left="284" w:hanging="284"/>
        <w:rPr>
          <w:sz w:val="18"/>
          <w:szCs w:val="18"/>
        </w:rPr>
      </w:pPr>
      <w:r w:rsidRPr="001A03A6">
        <w:rPr>
          <w:sz w:val="18"/>
          <w:szCs w:val="18"/>
        </w:rPr>
        <w:t xml:space="preserve">Jean de Dieu, M., et al. </w:t>
      </w:r>
      <w:r w:rsidRPr="001A03A6">
        <w:rPr>
          <w:sz w:val="18"/>
          <w:szCs w:val="18"/>
          <w:lang w:val="en-US"/>
        </w:rPr>
        <w:t xml:space="preserve">(2015). Use of woody forestry resources by the population living in the </w:t>
      </w:r>
      <w:proofErr w:type="spellStart"/>
      <w:r w:rsidRPr="001A03A6">
        <w:rPr>
          <w:sz w:val="18"/>
          <w:szCs w:val="18"/>
          <w:lang w:val="en-US"/>
        </w:rPr>
        <w:t>submountain</w:t>
      </w:r>
      <w:proofErr w:type="spellEnd"/>
      <w:r w:rsidRPr="001A03A6">
        <w:rPr>
          <w:sz w:val="18"/>
          <w:szCs w:val="18"/>
          <w:lang w:val="en-US"/>
        </w:rPr>
        <w:t xml:space="preserve"> area of </w:t>
      </w:r>
      <w:proofErr w:type="spellStart"/>
      <w:r w:rsidRPr="001A03A6">
        <w:rPr>
          <w:sz w:val="18"/>
          <w:szCs w:val="18"/>
          <w:lang w:val="en-US"/>
        </w:rPr>
        <w:t>Kahuzi-Biega</w:t>
      </w:r>
      <w:proofErr w:type="spellEnd"/>
      <w:r w:rsidRPr="001A03A6">
        <w:rPr>
          <w:sz w:val="18"/>
          <w:szCs w:val="18"/>
          <w:lang w:val="en-US"/>
        </w:rPr>
        <w:t xml:space="preserve"> National Park (DR Congo). </w:t>
      </w:r>
      <w:r w:rsidRPr="001A03A6">
        <w:rPr>
          <w:rStyle w:val="Accentuation"/>
          <w:sz w:val="18"/>
          <w:szCs w:val="18"/>
        </w:rPr>
        <w:t xml:space="preserve">Journal of </w:t>
      </w:r>
      <w:proofErr w:type="spellStart"/>
      <w:r w:rsidRPr="001A03A6">
        <w:rPr>
          <w:rStyle w:val="Accentuation"/>
          <w:sz w:val="18"/>
          <w:szCs w:val="18"/>
        </w:rPr>
        <w:t>Ethnobiology</w:t>
      </w:r>
      <w:proofErr w:type="spellEnd"/>
      <w:r w:rsidRPr="001A03A6">
        <w:rPr>
          <w:rStyle w:val="Accentuation"/>
          <w:sz w:val="18"/>
          <w:szCs w:val="18"/>
        </w:rPr>
        <w:t xml:space="preserve"> and </w:t>
      </w:r>
      <w:proofErr w:type="spellStart"/>
      <w:r w:rsidRPr="001A03A6">
        <w:rPr>
          <w:rStyle w:val="Accentuation"/>
          <w:sz w:val="18"/>
          <w:szCs w:val="18"/>
        </w:rPr>
        <w:t>Ethnomedicine</w:t>
      </w:r>
      <w:proofErr w:type="spellEnd"/>
      <w:r w:rsidRPr="001A03A6">
        <w:rPr>
          <w:rStyle w:val="Accentuation"/>
          <w:sz w:val="18"/>
          <w:szCs w:val="18"/>
        </w:rPr>
        <w:t>, 11</w:t>
      </w:r>
      <w:r w:rsidRPr="001A03A6">
        <w:rPr>
          <w:sz w:val="18"/>
          <w:szCs w:val="18"/>
        </w:rPr>
        <w:t>, 30. https://doi.org/10.1186/s13002-015-0007-0</w:t>
      </w:r>
    </w:p>
    <w:p w:rsid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rPr>
        <w:t>Ndambuki</w:t>
      </w:r>
      <w:proofErr w:type="spellEnd"/>
      <w:r w:rsidRPr="001A03A6">
        <w:rPr>
          <w:sz w:val="18"/>
          <w:szCs w:val="18"/>
        </w:rPr>
        <w:t xml:space="preserve">, J. M., et al. </w:t>
      </w:r>
      <w:r w:rsidRPr="001A03A6">
        <w:rPr>
          <w:sz w:val="18"/>
          <w:szCs w:val="18"/>
          <w:lang w:val="en-US"/>
        </w:rPr>
        <w:t xml:space="preserve">(2023). Economic valuation of wetland ecosystem services. </w:t>
      </w:r>
      <w:proofErr w:type="spellStart"/>
      <w:r w:rsidRPr="001A03A6">
        <w:rPr>
          <w:rStyle w:val="Accentuation"/>
          <w:sz w:val="18"/>
          <w:szCs w:val="18"/>
        </w:rPr>
        <w:t>Ecosystem</w:t>
      </w:r>
      <w:proofErr w:type="spellEnd"/>
      <w:r w:rsidRPr="001A03A6">
        <w:rPr>
          <w:rStyle w:val="Accentuation"/>
          <w:sz w:val="18"/>
          <w:szCs w:val="18"/>
        </w:rPr>
        <w:t xml:space="preserve"> Services Journal, 49</w:t>
      </w:r>
      <w:r w:rsidRPr="001A03A6">
        <w:rPr>
          <w:sz w:val="18"/>
          <w:szCs w:val="18"/>
        </w:rPr>
        <w:t>(2), 56-68.</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rStyle w:val="lev"/>
          <w:rFonts w:eastAsiaTheme="majorEastAsia"/>
          <w:b w:val="0"/>
          <w:sz w:val="18"/>
          <w:szCs w:val="18"/>
          <w:lang w:val="en-US"/>
        </w:rPr>
        <w:t>Nyangoko</w:t>
      </w:r>
      <w:proofErr w:type="spellEnd"/>
      <w:r w:rsidRPr="001A03A6">
        <w:rPr>
          <w:rStyle w:val="lev"/>
          <w:rFonts w:eastAsiaTheme="majorEastAsia"/>
          <w:b w:val="0"/>
          <w:sz w:val="18"/>
          <w:szCs w:val="18"/>
          <w:lang w:val="en-US"/>
        </w:rPr>
        <w:t xml:space="preserve">, B. P., Berg, H., </w:t>
      </w:r>
      <w:proofErr w:type="spellStart"/>
      <w:r w:rsidRPr="001A03A6">
        <w:rPr>
          <w:rStyle w:val="lev"/>
          <w:rFonts w:eastAsiaTheme="majorEastAsia"/>
          <w:b w:val="0"/>
          <w:sz w:val="18"/>
          <w:szCs w:val="18"/>
          <w:lang w:val="en-US"/>
        </w:rPr>
        <w:t>Mangora</w:t>
      </w:r>
      <w:proofErr w:type="spellEnd"/>
      <w:r w:rsidRPr="001A03A6">
        <w:rPr>
          <w:rStyle w:val="lev"/>
          <w:rFonts w:eastAsiaTheme="majorEastAsia"/>
          <w:b w:val="0"/>
          <w:sz w:val="18"/>
          <w:szCs w:val="18"/>
          <w:lang w:val="en-US"/>
        </w:rPr>
        <w:t xml:space="preserve">, M. M., </w:t>
      </w:r>
      <w:proofErr w:type="spellStart"/>
      <w:r w:rsidRPr="001A03A6">
        <w:rPr>
          <w:rStyle w:val="lev"/>
          <w:rFonts w:eastAsiaTheme="majorEastAsia"/>
          <w:b w:val="0"/>
          <w:sz w:val="18"/>
          <w:szCs w:val="18"/>
          <w:lang w:val="en-US"/>
        </w:rPr>
        <w:t>Shalli</w:t>
      </w:r>
      <w:proofErr w:type="spellEnd"/>
      <w:r w:rsidRPr="001A03A6">
        <w:rPr>
          <w:rStyle w:val="lev"/>
          <w:rFonts w:eastAsiaTheme="majorEastAsia"/>
          <w:b w:val="0"/>
          <w:sz w:val="18"/>
          <w:szCs w:val="18"/>
          <w:lang w:val="en-US"/>
        </w:rPr>
        <w:t xml:space="preserve">, M. S., &amp; </w:t>
      </w:r>
      <w:proofErr w:type="spellStart"/>
      <w:r w:rsidRPr="001A03A6">
        <w:rPr>
          <w:rStyle w:val="lev"/>
          <w:rFonts w:eastAsiaTheme="majorEastAsia"/>
          <w:b w:val="0"/>
          <w:sz w:val="18"/>
          <w:szCs w:val="18"/>
          <w:lang w:val="en-US"/>
        </w:rPr>
        <w:t>Gullström</w:t>
      </w:r>
      <w:proofErr w:type="spellEnd"/>
      <w:r w:rsidRPr="001A03A6">
        <w:rPr>
          <w:rStyle w:val="lev"/>
          <w:rFonts w:eastAsiaTheme="majorEastAsia"/>
          <w:b w:val="0"/>
          <w:sz w:val="18"/>
          <w:szCs w:val="18"/>
          <w:lang w:val="en-US"/>
        </w:rPr>
        <w:t>, M.</w:t>
      </w:r>
      <w:r w:rsidRPr="001A03A6">
        <w:rPr>
          <w:sz w:val="18"/>
          <w:szCs w:val="18"/>
          <w:lang w:val="en-US"/>
        </w:rPr>
        <w:t xml:space="preserve"> (2022). Local perceptions of changes in mangrove ecosystem services and their implications for livelihoods and management in the </w:t>
      </w:r>
      <w:proofErr w:type="spellStart"/>
      <w:r w:rsidRPr="001A03A6">
        <w:rPr>
          <w:sz w:val="18"/>
          <w:szCs w:val="18"/>
          <w:lang w:val="en-US"/>
        </w:rPr>
        <w:t>Rufiji</w:t>
      </w:r>
      <w:proofErr w:type="spellEnd"/>
      <w:r w:rsidRPr="001A03A6">
        <w:rPr>
          <w:sz w:val="18"/>
          <w:szCs w:val="18"/>
          <w:lang w:val="en-US"/>
        </w:rPr>
        <w:t xml:space="preserve"> Delta, Tanzania. </w:t>
      </w:r>
      <w:proofErr w:type="spellStart"/>
      <w:r w:rsidRPr="001A03A6">
        <w:rPr>
          <w:rStyle w:val="Accentuation"/>
          <w:sz w:val="18"/>
          <w:szCs w:val="18"/>
        </w:rPr>
        <w:t>Ocean</w:t>
      </w:r>
      <w:proofErr w:type="spellEnd"/>
      <w:r w:rsidRPr="001A03A6">
        <w:rPr>
          <w:rStyle w:val="Accentuation"/>
          <w:sz w:val="18"/>
          <w:szCs w:val="18"/>
        </w:rPr>
        <w:t xml:space="preserve"> &amp; </w:t>
      </w:r>
      <w:proofErr w:type="spellStart"/>
      <w:r w:rsidRPr="001A03A6">
        <w:rPr>
          <w:rStyle w:val="Accentuation"/>
          <w:sz w:val="18"/>
          <w:szCs w:val="18"/>
        </w:rPr>
        <w:t>Coastal</w:t>
      </w:r>
      <w:proofErr w:type="spellEnd"/>
      <w:r w:rsidRPr="001A03A6">
        <w:rPr>
          <w:rStyle w:val="Accentuation"/>
          <w:sz w:val="18"/>
          <w:szCs w:val="18"/>
        </w:rPr>
        <w:t xml:space="preserve"> Management, 219,</w:t>
      </w:r>
      <w:r w:rsidRPr="001A03A6">
        <w:rPr>
          <w:sz w:val="18"/>
          <w:szCs w:val="18"/>
        </w:rPr>
        <w:t xml:space="preserve"> 106065. https://doi.org/10.1016/j.ocecoaman.2022.106065</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rPr>
        <w:t>Imorou</w:t>
      </w:r>
      <w:proofErr w:type="spellEnd"/>
      <w:r w:rsidRPr="001A03A6">
        <w:rPr>
          <w:sz w:val="18"/>
          <w:szCs w:val="18"/>
        </w:rPr>
        <w:t xml:space="preserve">, I. T. (2018). Forêts dans les aires protégées et terroirs villageois du bassin cotonnier du Bénin. </w:t>
      </w:r>
      <w:r w:rsidRPr="001A03A6">
        <w:rPr>
          <w:rStyle w:val="Accentuation"/>
          <w:sz w:val="18"/>
          <w:szCs w:val="18"/>
        </w:rPr>
        <w:t>Journal of Tropical Forest Science, 30</w:t>
      </w:r>
      <w:r w:rsidRPr="001A03A6">
        <w:rPr>
          <w:sz w:val="18"/>
          <w:szCs w:val="18"/>
        </w:rPr>
        <w:t>(1), 1–25.</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lang w:val="en-US"/>
        </w:rPr>
        <w:t>Hasan</w:t>
      </w:r>
      <w:proofErr w:type="spellEnd"/>
      <w:r w:rsidRPr="001A03A6">
        <w:rPr>
          <w:sz w:val="18"/>
          <w:szCs w:val="18"/>
          <w:lang w:val="en-US"/>
        </w:rPr>
        <w:t xml:space="preserve">, S., Shi, W., &amp; Z., X. (2020). Impact of land use land cover changes on ecosystem service value – A case study of Guangdong, Hong Kong, and Macao in South China. </w:t>
      </w:r>
      <w:proofErr w:type="spellStart"/>
      <w:r w:rsidRPr="001A03A6">
        <w:rPr>
          <w:rStyle w:val="Accentuation"/>
          <w:sz w:val="18"/>
          <w:szCs w:val="18"/>
        </w:rPr>
        <w:t>PLoS</w:t>
      </w:r>
      <w:proofErr w:type="spellEnd"/>
      <w:r w:rsidRPr="001A03A6">
        <w:rPr>
          <w:rStyle w:val="Accentuation"/>
          <w:sz w:val="18"/>
          <w:szCs w:val="18"/>
        </w:rPr>
        <w:t xml:space="preserve"> ONE, 15</w:t>
      </w:r>
      <w:r w:rsidRPr="001A03A6">
        <w:rPr>
          <w:sz w:val="18"/>
          <w:szCs w:val="18"/>
        </w:rPr>
        <w:t xml:space="preserve">(14), e0231259. </w:t>
      </w:r>
      <w:hyperlink r:id="rId11" w:tgtFrame="_new" w:history="1">
        <w:r w:rsidRPr="001A03A6">
          <w:rPr>
            <w:rStyle w:val="Lienhypertexte"/>
            <w:sz w:val="18"/>
            <w:szCs w:val="18"/>
          </w:rPr>
          <w:t>https://doi.org/10.1371/journal.pone.0231259</w:t>
        </w:r>
      </w:hyperlink>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lang w:val="en-US"/>
        </w:rPr>
        <w:t>Hassen</w:t>
      </w:r>
      <w:proofErr w:type="spellEnd"/>
      <w:r w:rsidRPr="001A03A6">
        <w:rPr>
          <w:sz w:val="18"/>
          <w:szCs w:val="18"/>
          <w:lang w:val="en-US"/>
        </w:rPr>
        <w:t xml:space="preserve">, A., Zander, K. K., Manes, S., &amp; </w:t>
      </w:r>
      <w:proofErr w:type="spellStart"/>
      <w:r w:rsidRPr="001A03A6">
        <w:rPr>
          <w:sz w:val="18"/>
          <w:szCs w:val="18"/>
          <w:lang w:val="en-US"/>
        </w:rPr>
        <w:t>Meragiaw</w:t>
      </w:r>
      <w:proofErr w:type="spellEnd"/>
      <w:r w:rsidRPr="001A03A6">
        <w:rPr>
          <w:sz w:val="18"/>
          <w:szCs w:val="18"/>
          <w:lang w:val="en-US"/>
        </w:rPr>
        <w:t xml:space="preserve">, M. (2023). Local people's perception of forest ecosystem services, traditional conservation, and management approaches in North </w:t>
      </w:r>
      <w:proofErr w:type="spellStart"/>
      <w:r w:rsidRPr="001A03A6">
        <w:rPr>
          <w:sz w:val="18"/>
          <w:szCs w:val="18"/>
          <w:lang w:val="en-US"/>
        </w:rPr>
        <w:t>Wollo</w:t>
      </w:r>
      <w:proofErr w:type="spellEnd"/>
      <w:r w:rsidRPr="001A03A6">
        <w:rPr>
          <w:sz w:val="18"/>
          <w:szCs w:val="18"/>
          <w:lang w:val="en-US"/>
        </w:rPr>
        <w:t xml:space="preserve">, Ethiopia. </w:t>
      </w:r>
      <w:r w:rsidRPr="001A03A6">
        <w:rPr>
          <w:rStyle w:val="Accentuation"/>
          <w:sz w:val="18"/>
          <w:szCs w:val="18"/>
        </w:rPr>
        <w:t xml:space="preserve">Journal of </w:t>
      </w:r>
      <w:proofErr w:type="spellStart"/>
      <w:r w:rsidRPr="001A03A6">
        <w:rPr>
          <w:rStyle w:val="Accentuation"/>
          <w:sz w:val="18"/>
          <w:szCs w:val="18"/>
        </w:rPr>
        <w:t>Environmental</w:t>
      </w:r>
      <w:proofErr w:type="spellEnd"/>
      <w:r w:rsidRPr="001A03A6">
        <w:rPr>
          <w:rStyle w:val="Accentuation"/>
          <w:sz w:val="18"/>
          <w:szCs w:val="18"/>
        </w:rPr>
        <w:t xml:space="preserve"> Management, 330</w:t>
      </w:r>
      <w:r w:rsidRPr="001A03A6">
        <w:rPr>
          <w:sz w:val="18"/>
          <w:szCs w:val="18"/>
        </w:rPr>
        <w:t>, 117118.</w:t>
      </w:r>
    </w:p>
    <w:p w:rsidR="001A03A6" w:rsidRPr="001A03A6" w:rsidRDefault="001A03A6" w:rsidP="001A03A6">
      <w:pPr>
        <w:pStyle w:val="NormalWeb"/>
        <w:numPr>
          <w:ilvl w:val="0"/>
          <w:numId w:val="6"/>
        </w:numPr>
        <w:tabs>
          <w:tab w:val="clear" w:pos="720"/>
        </w:tabs>
        <w:ind w:left="284" w:hanging="284"/>
        <w:rPr>
          <w:sz w:val="18"/>
          <w:szCs w:val="18"/>
        </w:rPr>
      </w:pPr>
      <w:r w:rsidRPr="001A03A6">
        <w:rPr>
          <w:sz w:val="18"/>
          <w:szCs w:val="18"/>
          <w:lang w:val="en-US"/>
        </w:rPr>
        <w:t xml:space="preserve">Hansen, M. C., </w:t>
      </w:r>
      <w:proofErr w:type="spellStart"/>
      <w:r w:rsidRPr="001A03A6">
        <w:rPr>
          <w:sz w:val="18"/>
          <w:szCs w:val="18"/>
          <w:lang w:val="en-US"/>
        </w:rPr>
        <w:t>Potapov</w:t>
      </w:r>
      <w:proofErr w:type="spellEnd"/>
      <w:r w:rsidRPr="001A03A6">
        <w:rPr>
          <w:sz w:val="18"/>
          <w:szCs w:val="18"/>
          <w:lang w:val="en-US"/>
        </w:rPr>
        <w:t xml:space="preserve">, P. V., Moore, R., </w:t>
      </w:r>
      <w:proofErr w:type="spellStart"/>
      <w:r w:rsidRPr="001A03A6">
        <w:rPr>
          <w:sz w:val="18"/>
          <w:szCs w:val="18"/>
          <w:lang w:val="en-US"/>
        </w:rPr>
        <w:t>Hancher</w:t>
      </w:r>
      <w:proofErr w:type="spellEnd"/>
      <w:r w:rsidRPr="001A03A6">
        <w:rPr>
          <w:sz w:val="18"/>
          <w:szCs w:val="18"/>
          <w:lang w:val="en-US"/>
        </w:rPr>
        <w:t xml:space="preserve">, M., </w:t>
      </w:r>
      <w:proofErr w:type="spellStart"/>
      <w:r w:rsidRPr="001A03A6">
        <w:rPr>
          <w:sz w:val="18"/>
          <w:szCs w:val="18"/>
          <w:lang w:val="en-US"/>
        </w:rPr>
        <w:t>Turubanova</w:t>
      </w:r>
      <w:proofErr w:type="spellEnd"/>
      <w:r w:rsidRPr="001A03A6">
        <w:rPr>
          <w:sz w:val="18"/>
          <w:szCs w:val="18"/>
          <w:lang w:val="en-US"/>
        </w:rPr>
        <w:t xml:space="preserve">, S. A., </w:t>
      </w:r>
      <w:proofErr w:type="spellStart"/>
      <w:r w:rsidRPr="001A03A6">
        <w:rPr>
          <w:sz w:val="18"/>
          <w:szCs w:val="18"/>
          <w:lang w:val="en-US"/>
        </w:rPr>
        <w:t>Tyukavina</w:t>
      </w:r>
      <w:proofErr w:type="spellEnd"/>
      <w:r w:rsidRPr="001A03A6">
        <w:rPr>
          <w:sz w:val="18"/>
          <w:szCs w:val="18"/>
          <w:lang w:val="en-US"/>
        </w:rPr>
        <w:t xml:space="preserve">, A., &amp; Townshend, J. R. G. (2013). High-resolution global maps of 21st-century forest cover change. </w:t>
      </w:r>
      <w:r w:rsidRPr="001A03A6">
        <w:rPr>
          <w:rStyle w:val="Accentuation"/>
          <w:sz w:val="18"/>
          <w:szCs w:val="18"/>
        </w:rPr>
        <w:t>Science, 342</w:t>
      </w:r>
      <w:r w:rsidRPr="001A03A6">
        <w:rPr>
          <w:sz w:val="18"/>
          <w:szCs w:val="18"/>
        </w:rPr>
        <w:t>(6160), 850-853. https://doi.org/10.1126/science.1244693</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rPr>
        <w:t>Himons</w:t>
      </w:r>
      <w:proofErr w:type="spellEnd"/>
      <w:r w:rsidRPr="001A03A6">
        <w:rPr>
          <w:sz w:val="18"/>
          <w:szCs w:val="18"/>
        </w:rPr>
        <w:t xml:space="preserve">, J. (2023). Les services </w:t>
      </w:r>
      <w:proofErr w:type="spellStart"/>
      <w:r w:rsidRPr="001A03A6">
        <w:rPr>
          <w:sz w:val="18"/>
          <w:szCs w:val="18"/>
        </w:rPr>
        <w:t>écosystémiques</w:t>
      </w:r>
      <w:proofErr w:type="spellEnd"/>
      <w:r w:rsidRPr="001A03A6">
        <w:rPr>
          <w:sz w:val="18"/>
          <w:szCs w:val="18"/>
        </w:rPr>
        <w:t xml:space="preserve"> comme une solution pour la gestion durable des ressources naturelles en Afrique centrale. </w:t>
      </w:r>
      <w:r w:rsidRPr="001A03A6">
        <w:rPr>
          <w:rStyle w:val="Accentuation"/>
          <w:sz w:val="18"/>
          <w:szCs w:val="18"/>
        </w:rPr>
        <w:t xml:space="preserve">Journal of </w:t>
      </w:r>
      <w:proofErr w:type="spellStart"/>
      <w:r w:rsidRPr="001A03A6">
        <w:rPr>
          <w:rStyle w:val="Accentuation"/>
          <w:sz w:val="18"/>
          <w:szCs w:val="18"/>
        </w:rPr>
        <w:t>Environmental</w:t>
      </w:r>
      <w:proofErr w:type="spellEnd"/>
      <w:r w:rsidRPr="001A03A6">
        <w:rPr>
          <w:rStyle w:val="Accentuation"/>
          <w:sz w:val="18"/>
          <w:szCs w:val="18"/>
        </w:rPr>
        <w:t xml:space="preserve"> Management, 330</w:t>
      </w:r>
      <w:r w:rsidRPr="001A03A6">
        <w:rPr>
          <w:sz w:val="18"/>
          <w:szCs w:val="18"/>
        </w:rPr>
        <w:t>, 117123.</w:t>
      </w:r>
    </w:p>
    <w:p w:rsidR="001A03A6" w:rsidRPr="001A03A6" w:rsidRDefault="001A03A6" w:rsidP="001A03A6">
      <w:pPr>
        <w:pStyle w:val="NormalWeb"/>
        <w:numPr>
          <w:ilvl w:val="0"/>
          <w:numId w:val="6"/>
        </w:numPr>
        <w:tabs>
          <w:tab w:val="clear" w:pos="720"/>
        </w:tabs>
        <w:ind w:left="284" w:hanging="284"/>
        <w:rPr>
          <w:sz w:val="18"/>
          <w:szCs w:val="18"/>
        </w:rPr>
      </w:pPr>
      <w:r w:rsidRPr="001A03A6">
        <w:rPr>
          <w:sz w:val="18"/>
          <w:szCs w:val="18"/>
          <w:lang w:val="en-US"/>
        </w:rPr>
        <w:t xml:space="preserve">Hofmann, M., et al. (2017). Land use change and its impacts on the forest ecosystems in </w:t>
      </w:r>
      <w:proofErr w:type="spellStart"/>
      <w:r w:rsidRPr="001A03A6">
        <w:rPr>
          <w:sz w:val="18"/>
          <w:szCs w:val="18"/>
          <w:lang w:val="en-US"/>
        </w:rPr>
        <w:t>Kahuzi-Biega</w:t>
      </w:r>
      <w:proofErr w:type="spellEnd"/>
      <w:r w:rsidRPr="001A03A6">
        <w:rPr>
          <w:sz w:val="18"/>
          <w:szCs w:val="18"/>
          <w:lang w:val="en-US"/>
        </w:rPr>
        <w:t xml:space="preserve"> National Park. </w:t>
      </w:r>
      <w:proofErr w:type="spellStart"/>
      <w:r w:rsidRPr="001A03A6">
        <w:rPr>
          <w:rStyle w:val="Accentuation"/>
          <w:sz w:val="18"/>
          <w:szCs w:val="18"/>
        </w:rPr>
        <w:t>Environmental</w:t>
      </w:r>
      <w:proofErr w:type="spellEnd"/>
      <w:r w:rsidRPr="001A03A6">
        <w:rPr>
          <w:rStyle w:val="Accentuation"/>
          <w:sz w:val="18"/>
          <w:szCs w:val="18"/>
        </w:rPr>
        <w:t xml:space="preserve"> Science and Policy, 74</w:t>
      </w:r>
      <w:r w:rsidRPr="001A03A6">
        <w:rPr>
          <w:sz w:val="18"/>
          <w:szCs w:val="18"/>
        </w:rPr>
        <w:t>(2), 50-62.</w:t>
      </w:r>
    </w:p>
    <w:p w:rsidR="001A03A6" w:rsidRPr="001A03A6" w:rsidRDefault="001A03A6" w:rsidP="001A03A6">
      <w:pPr>
        <w:pStyle w:val="NormalWeb"/>
        <w:numPr>
          <w:ilvl w:val="0"/>
          <w:numId w:val="6"/>
        </w:numPr>
        <w:tabs>
          <w:tab w:val="clear" w:pos="720"/>
        </w:tabs>
        <w:ind w:left="284" w:hanging="284"/>
        <w:rPr>
          <w:sz w:val="18"/>
          <w:szCs w:val="18"/>
        </w:rPr>
      </w:pPr>
      <w:r w:rsidRPr="001A03A6">
        <w:rPr>
          <w:sz w:val="18"/>
          <w:szCs w:val="18"/>
          <w:lang w:val="en-US"/>
        </w:rPr>
        <w:t xml:space="preserve">IPBES (2022). Summary for policymakers of the global assessment report on biodiversity and ecosystem services of the Intergovernmental Science-Policy Platform on Biodiversity and Ecosystem Services. </w:t>
      </w:r>
      <w:r w:rsidRPr="001A03A6">
        <w:rPr>
          <w:rStyle w:val="Accentuation"/>
          <w:sz w:val="18"/>
          <w:szCs w:val="18"/>
        </w:rPr>
        <w:t xml:space="preserve">IPBES </w:t>
      </w:r>
      <w:proofErr w:type="spellStart"/>
      <w:r w:rsidRPr="001A03A6">
        <w:rPr>
          <w:rStyle w:val="Accentuation"/>
          <w:sz w:val="18"/>
          <w:szCs w:val="18"/>
        </w:rPr>
        <w:t>Secretariat</w:t>
      </w:r>
      <w:proofErr w:type="spellEnd"/>
      <w:r w:rsidRPr="001A03A6">
        <w:rPr>
          <w:sz w:val="18"/>
          <w:szCs w:val="18"/>
        </w:rPr>
        <w:t xml:space="preserve">. </w:t>
      </w:r>
      <w:proofErr w:type="spellStart"/>
      <w:r w:rsidRPr="001A03A6">
        <w:rPr>
          <w:sz w:val="18"/>
          <w:szCs w:val="18"/>
        </w:rPr>
        <w:t>Retrieved</w:t>
      </w:r>
      <w:proofErr w:type="spellEnd"/>
      <w:r w:rsidRPr="001A03A6">
        <w:rPr>
          <w:sz w:val="18"/>
          <w:szCs w:val="18"/>
        </w:rPr>
        <w:t xml:space="preserve"> </w:t>
      </w:r>
      <w:proofErr w:type="spellStart"/>
      <w:r w:rsidRPr="001A03A6">
        <w:rPr>
          <w:sz w:val="18"/>
          <w:szCs w:val="18"/>
        </w:rPr>
        <w:t>from</w:t>
      </w:r>
      <w:proofErr w:type="spellEnd"/>
      <w:r w:rsidRPr="001A03A6">
        <w:rPr>
          <w:sz w:val="18"/>
          <w:szCs w:val="18"/>
        </w:rPr>
        <w:t xml:space="preserve"> https://www.ipbes.net/global-assessment</w:t>
      </w:r>
    </w:p>
    <w:p w:rsidR="001A03A6" w:rsidRPr="001A03A6" w:rsidRDefault="001A03A6" w:rsidP="001A03A6">
      <w:pPr>
        <w:pStyle w:val="NormalWeb"/>
        <w:numPr>
          <w:ilvl w:val="0"/>
          <w:numId w:val="6"/>
        </w:numPr>
        <w:tabs>
          <w:tab w:val="clear" w:pos="720"/>
        </w:tabs>
        <w:ind w:left="284" w:hanging="284"/>
        <w:rPr>
          <w:sz w:val="18"/>
          <w:szCs w:val="18"/>
        </w:rPr>
      </w:pPr>
      <w:r w:rsidRPr="001A03A6">
        <w:rPr>
          <w:sz w:val="18"/>
          <w:szCs w:val="18"/>
          <w:lang w:val="en-US"/>
        </w:rPr>
        <w:t xml:space="preserve">Isbell, F., et al. (2017). Linking the effects of biodiversity loss to ecosystem services in a global scenario of land use change. </w:t>
      </w:r>
      <w:r w:rsidRPr="001A03A6">
        <w:rPr>
          <w:rStyle w:val="Accentuation"/>
          <w:sz w:val="18"/>
          <w:szCs w:val="18"/>
        </w:rPr>
        <w:t xml:space="preserve">Journal of </w:t>
      </w:r>
      <w:proofErr w:type="spellStart"/>
      <w:r w:rsidRPr="001A03A6">
        <w:rPr>
          <w:rStyle w:val="Accentuation"/>
          <w:sz w:val="18"/>
          <w:szCs w:val="18"/>
        </w:rPr>
        <w:t>Environmental</w:t>
      </w:r>
      <w:proofErr w:type="spellEnd"/>
      <w:r w:rsidRPr="001A03A6">
        <w:rPr>
          <w:rStyle w:val="Accentuation"/>
          <w:sz w:val="18"/>
          <w:szCs w:val="18"/>
        </w:rPr>
        <w:t xml:space="preserve"> Management, 203</w:t>
      </w:r>
      <w:r w:rsidRPr="001A03A6">
        <w:rPr>
          <w:sz w:val="18"/>
          <w:szCs w:val="18"/>
        </w:rPr>
        <w:t>(Part 1), 101-110.</w:t>
      </w:r>
    </w:p>
    <w:p w:rsidR="001A03A6" w:rsidRPr="001A03A6" w:rsidRDefault="001A03A6" w:rsidP="001A03A6">
      <w:pPr>
        <w:pStyle w:val="NormalWeb"/>
        <w:numPr>
          <w:ilvl w:val="0"/>
          <w:numId w:val="6"/>
        </w:numPr>
        <w:tabs>
          <w:tab w:val="clear" w:pos="720"/>
        </w:tabs>
        <w:ind w:left="284" w:hanging="284"/>
        <w:rPr>
          <w:sz w:val="18"/>
          <w:szCs w:val="18"/>
          <w:lang w:val="en-US"/>
        </w:rPr>
      </w:pPr>
      <w:r w:rsidRPr="001A03A6">
        <w:rPr>
          <w:sz w:val="18"/>
          <w:szCs w:val="18"/>
          <w:lang w:val="en-US"/>
        </w:rPr>
        <w:t xml:space="preserve">Jack, B. K., </w:t>
      </w:r>
      <w:proofErr w:type="spellStart"/>
      <w:r w:rsidRPr="001A03A6">
        <w:rPr>
          <w:sz w:val="18"/>
          <w:szCs w:val="18"/>
          <w:lang w:val="en-US"/>
        </w:rPr>
        <w:t>Kousky</w:t>
      </w:r>
      <w:proofErr w:type="spellEnd"/>
      <w:r w:rsidRPr="001A03A6">
        <w:rPr>
          <w:sz w:val="18"/>
          <w:szCs w:val="18"/>
          <w:lang w:val="en-US"/>
        </w:rPr>
        <w:t xml:space="preserve">, C., &amp; Sims, K. R. E. (2008). Designing payments for ecosystem services: Lessons from previous experience with incentive-based mechanisms. </w:t>
      </w:r>
      <w:r w:rsidRPr="001A03A6">
        <w:rPr>
          <w:rStyle w:val="Accentuation"/>
          <w:sz w:val="18"/>
          <w:szCs w:val="18"/>
          <w:lang w:val="en-US"/>
        </w:rPr>
        <w:t>Proceedings of the National Academy of Sciences, 105</w:t>
      </w:r>
      <w:r w:rsidRPr="001A03A6">
        <w:rPr>
          <w:sz w:val="18"/>
          <w:szCs w:val="18"/>
          <w:lang w:val="en-US"/>
        </w:rPr>
        <w:t>(28), 9465-9470. https://doi.org/10.1073/pnas.0705503104</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rPr>
        <w:t>Kabanza</w:t>
      </w:r>
      <w:proofErr w:type="spellEnd"/>
      <w:r w:rsidRPr="001A03A6">
        <w:rPr>
          <w:sz w:val="18"/>
          <w:szCs w:val="18"/>
        </w:rPr>
        <w:t xml:space="preserve">, V. (2020). Analyse de la dynamique des paysages forestiers dans la région du parc national de </w:t>
      </w:r>
      <w:proofErr w:type="spellStart"/>
      <w:r w:rsidRPr="001A03A6">
        <w:rPr>
          <w:sz w:val="18"/>
          <w:szCs w:val="18"/>
        </w:rPr>
        <w:t>Kahuzi-Biega</w:t>
      </w:r>
      <w:proofErr w:type="spellEnd"/>
      <w:r w:rsidRPr="001A03A6">
        <w:rPr>
          <w:sz w:val="18"/>
          <w:szCs w:val="18"/>
        </w:rPr>
        <w:t xml:space="preserve">. </w:t>
      </w:r>
      <w:r w:rsidRPr="001A03A6">
        <w:rPr>
          <w:rStyle w:val="Accentuation"/>
          <w:sz w:val="18"/>
          <w:szCs w:val="18"/>
        </w:rPr>
        <w:t xml:space="preserve">Journal of </w:t>
      </w:r>
      <w:proofErr w:type="spellStart"/>
      <w:r w:rsidRPr="001A03A6">
        <w:rPr>
          <w:rStyle w:val="Accentuation"/>
          <w:sz w:val="18"/>
          <w:szCs w:val="18"/>
        </w:rPr>
        <w:t>Forestry</w:t>
      </w:r>
      <w:proofErr w:type="spellEnd"/>
      <w:r w:rsidRPr="001A03A6">
        <w:rPr>
          <w:rStyle w:val="Accentuation"/>
          <w:sz w:val="18"/>
          <w:szCs w:val="18"/>
        </w:rPr>
        <w:t xml:space="preserve"> </w:t>
      </w:r>
      <w:proofErr w:type="spellStart"/>
      <w:r w:rsidRPr="001A03A6">
        <w:rPr>
          <w:rStyle w:val="Accentuation"/>
          <w:sz w:val="18"/>
          <w:szCs w:val="18"/>
        </w:rPr>
        <w:t>Research</w:t>
      </w:r>
      <w:proofErr w:type="spellEnd"/>
      <w:r w:rsidRPr="001A03A6">
        <w:rPr>
          <w:rStyle w:val="Accentuation"/>
          <w:sz w:val="18"/>
          <w:szCs w:val="18"/>
        </w:rPr>
        <w:t>, 25</w:t>
      </w:r>
      <w:r w:rsidRPr="001A03A6">
        <w:rPr>
          <w:sz w:val="18"/>
          <w:szCs w:val="18"/>
        </w:rPr>
        <w:t>(3), 321-332.</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rPr>
        <w:t>Kamdem</w:t>
      </w:r>
      <w:proofErr w:type="spellEnd"/>
      <w:r w:rsidRPr="001A03A6">
        <w:rPr>
          <w:sz w:val="18"/>
          <w:szCs w:val="18"/>
        </w:rPr>
        <w:t xml:space="preserve">, F. (2017). L’implication des communautés locales dans la gestion de la biodiversité: Étude de cas dans le sud-est du Cameroun. </w:t>
      </w:r>
      <w:proofErr w:type="spellStart"/>
      <w:r w:rsidRPr="001A03A6">
        <w:rPr>
          <w:rStyle w:val="Accentuation"/>
          <w:sz w:val="18"/>
          <w:szCs w:val="18"/>
        </w:rPr>
        <w:t>Ecology</w:t>
      </w:r>
      <w:proofErr w:type="spellEnd"/>
      <w:r w:rsidRPr="001A03A6">
        <w:rPr>
          <w:rStyle w:val="Accentuation"/>
          <w:sz w:val="18"/>
          <w:szCs w:val="18"/>
        </w:rPr>
        <w:t xml:space="preserve"> and Society, 22</w:t>
      </w:r>
      <w:r w:rsidRPr="001A03A6">
        <w:rPr>
          <w:sz w:val="18"/>
          <w:szCs w:val="18"/>
        </w:rPr>
        <w:t>(2), 35.</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lang w:val="en-US"/>
        </w:rPr>
        <w:t>Lemenih</w:t>
      </w:r>
      <w:proofErr w:type="spellEnd"/>
      <w:r w:rsidRPr="001A03A6">
        <w:rPr>
          <w:sz w:val="18"/>
          <w:szCs w:val="18"/>
          <w:lang w:val="en-US"/>
        </w:rPr>
        <w:t xml:space="preserve">, M., &amp; </w:t>
      </w:r>
      <w:proofErr w:type="spellStart"/>
      <w:r w:rsidRPr="001A03A6">
        <w:rPr>
          <w:sz w:val="18"/>
          <w:szCs w:val="18"/>
          <w:lang w:val="en-US"/>
        </w:rPr>
        <w:t>Bongers</w:t>
      </w:r>
      <w:proofErr w:type="spellEnd"/>
      <w:r w:rsidRPr="001A03A6">
        <w:rPr>
          <w:sz w:val="18"/>
          <w:szCs w:val="18"/>
          <w:lang w:val="en-US"/>
        </w:rPr>
        <w:t xml:space="preserve">, F. (2010). Dry forests and woodlands in Africa: Managing for products and services. </w:t>
      </w:r>
      <w:r w:rsidRPr="001A03A6">
        <w:rPr>
          <w:rStyle w:val="Accentuation"/>
          <w:sz w:val="18"/>
          <w:szCs w:val="18"/>
        </w:rPr>
        <w:t xml:space="preserve">International Journal of </w:t>
      </w:r>
      <w:proofErr w:type="spellStart"/>
      <w:r w:rsidRPr="001A03A6">
        <w:rPr>
          <w:rStyle w:val="Accentuation"/>
          <w:sz w:val="18"/>
          <w:szCs w:val="18"/>
        </w:rPr>
        <w:t>Environmental</w:t>
      </w:r>
      <w:proofErr w:type="spellEnd"/>
      <w:r w:rsidRPr="001A03A6">
        <w:rPr>
          <w:rStyle w:val="Accentuation"/>
          <w:sz w:val="18"/>
          <w:szCs w:val="18"/>
        </w:rPr>
        <w:t xml:space="preserve"> </w:t>
      </w:r>
      <w:proofErr w:type="spellStart"/>
      <w:r w:rsidRPr="001A03A6">
        <w:rPr>
          <w:rStyle w:val="Accentuation"/>
          <w:sz w:val="18"/>
          <w:szCs w:val="18"/>
        </w:rPr>
        <w:t>Studies</w:t>
      </w:r>
      <w:proofErr w:type="spellEnd"/>
      <w:r w:rsidRPr="001A03A6">
        <w:rPr>
          <w:rStyle w:val="Accentuation"/>
          <w:sz w:val="18"/>
          <w:szCs w:val="18"/>
        </w:rPr>
        <w:t>, 67</w:t>
      </w:r>
      <w:r w:rsidRPr="001A03A6">
        <w:rPr>
          <w:sz w:val="18"/>
          <w:szCs w:val="18"/>
        </w:rPr>
        <w:t>(2), 212-229.</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rPr>
        <w:t>Lenga</w:t>
      </w:r>
      <w:proofErr w:type="spellEnd"/>
      <w:r w:rsidRPr="001A03A6">
        <w:rPr>
          <w:sz w:val="18"/>
          <w:szCs w:val="18"/>
        </w:rPr>
        <w:t xml:space="preserve">, F., &amp; </w:t>
      </w:r>
      <w:proofErr w:type="spellStart"/>
      <w:r w:rsidRPr="001A03A6">
        <w:rPr>
          <w:sz w:val="18"/>
          <w:szCs w:val="18"/>
        </w:rPr>
        <w:t>Bekele</w:t>
      </w:r>
      <w:proofErr w:type="spellEnd"/>
      <w:r w:rsidRPr="001A03A6">
        <w:rPr>
          <w:sz w:val="18"/>
          <w:szCs w:val="18"/>
        </w:rPr>
        <w:t xml:space="preserve">, M. (2023). Perception des communautés locales sur la gestion des services </w:t>
      </w:r>
      <w:proofErr w:type="spellStart"/>
      <w:r w:rsidRPr="001A03A6">
        <w:rPr>
          <w:sz w:val="18"/>
          <w:szCs w:val="18"/>
        </w:rPr>
        <w:t>écosystémiques</w:t>
      </w:r>
      <w:proofErr w:type="spellEnd"/>
      <w:r w:rsidRPr="001A03A6">
        <w:rPr>
          <w:sz w:val="18"/>
          <w:szCs w:val="18"/>
        </w:rPr>
        <w:t xml:space="preserve"> forestiers dans les régions rurales du sud-ouest de l’Éthiopie. </w:t>
      </w:r>
      <w:r w:rsidRPr="001A03A6">
        <w:rPr>
          <w:rStyle w:val="Accentuation"/>
          <w:sz w:val="18"/>
          <w:szCs w:val="18"/>
        </w:rPr>
        <w:t xml:space="preserve">Journal of </w:t>
      </w:r>
      <w:proofErr w:type="spellStart"/>
      <w:r w:rsidRPr="001A03A6">
        <w:rPr>
          <w:rStyle w:val="Accentuation"/>
          <w:sz w:val="18"/>
          <w:szCs w:val="18"/>
        </w:rPr>
        <w:t>Environmental</w:t>
      </w:r>
      <w:proofErr w:type="spellEnd"/>
      <w:r w:rsidRPr="001A03A6">
        <w:rPr>
          <w:rStyle w:val="Accentuation"/>
          <w:sz w:val="18"/>
          <w:szCs w:val="18"/>
        </w:rPr>
        <w:t xml:space="preserve"> Planning and Management, 23</w:t>
      </w:r>
      <w:r w:rsidRPr="001A03A6">
        <w:rPr>
          <w:sz w:val="18"/>
          <w:szCs w:val="18"/>
        </w:rPr>
        <w:t>(5), 703-719.</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lang w:val="en-US"/>
        </w:rPr>
        <w:t>Maita</w:t>
      </w:r>
      <w:proofErr w:type="spellEnd"/>
      <w:r w:rsidRPr="001A03A6">
        <w:rPr>
          <w:sz w:val="18"/>
          <w:szCs w:val="18"/>
          <w:lang w:val="en-US"/>
        </w:rPr>
        <w:t xml:space="preserve">, J. (2020). Drivers of deforestation in the tropical regions of South America. </w:t>
      </w:r>
      <w:r w:rsidRPr="001A03A6">
        <w:rPr>
          <w:rStyle w:val="Accentuation"/>
          <w:sz w:val="18"/>
          <w:szCs w:val="18"/>
        </w:rPr>
        <w:t>Journal of Tropical Forest Science, 32</w:t>
      </w:r>
      <w:r w:rsidRPr="001A03A6">
        <w:rPr>
          <w:sz w:val="18"/>
          <w:szCs w:val="18"/>
        </w:rPr>
        <w:t>(4), 305-322.</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rPr>
        <w:t>Masozera</w:t>
      </w:r>
      <w:proofErr w:type="spellEnd"/>
      <w:r w:rsidRPr="001A03A6">
        <w:rPr>
          <w:sz w:val="18"/>
          <w:szCs w:val="18"/>
        </w:rPr>
        <w:t xml:space="preserve">, M. K., &amp; </w:t>
      </w:r>
      <w:proofErr w:type="spellStart"/>
      <w:r w:rsidRPr="001A03A6">
        <w:rPr>
          <w:sz w:val="18"/>
          <w:szCs w:val="18"/>
        </w:rPr>
        <w:t>Alavalapati</w:t>
      </w:r>
      <w:proofErr w:type="spellEnd"/>
      <w:r w:rsidRPr="001A03A6">
        <w:rPr>
          <w:sz w:val="18"/>
          <w:szCs w:val="18"/>
        </w:rPr>
        <w:t xml:space="preserve">, J. R. R. (2004). </w:t>
      </w:r>
      <w:r w:rsidRPr="001A03A6">
        <w:rPr>
          <w:sz w:val="18"/>
          <w:szCs w:val="18"/>
          <w:lang w:val="en-US"/>
        </w:rPr>
        <w:t xml:space="preserve">Forest dependency and its implications for protected areas management: A case study from the </w:t>
      </w:r>
      <w:proofErr w:type="spellStart"/>
      <w:r w:rsidRPr="001A03A6">
        <w:rPr>
          <w:sz w:val="18"/>
          <w:szCs w:val="18"/>
          <w:lang w:val="en-US"/>
        </w:rPr>
        <w:t>Nyungwe</w:t>
      </w:r>
      <w:proofErr w:type="spellEnd"/>
      <w:r w:rsidRPr="001A03A6">
        <w:rPr>
          <w:sz w:val="18"/>
          <w:szCs w:val="18"/>
          <w:lang w:val="en-US"/>
        </w:rPr>
        <w:t xml:space="preserve"> Forest Reserve, Rwanda. </w:t>
      </w:r>
      <w:proofErr w:type="spellStart"/>
      <w:r w:rsidRPr="001A03A6">
        <w:rPr>
          <w:rStyle w:val="Accentuation"/>
          <w:sz w:val="18"/>
          <w:szCs w:val="18"/>
        </w:rPr>
        <w:t>Scandinavian</w:t>
      </w:r>
      <w:proofErr w:type="spellEnd"/>
      <w:r w:rsidRPr="001A03A6">
        <w:rPr>
          <w:rStyle w:val="Accentuation"/>
          <w:sz w:val="18"/>
          <w:szCs w:val="18"/>
        </w:rPr>
        <w:t xml:space="preserve"> Journal of Forest </w:t>
      </w:r>
      <w:proofErr w:type="spellStart"/>
      <w:r w:rsidRPr="001A03A6">
        <w:rPr>
          <w:rStyle w:val="Accentuation"/>
          <w:sz w:val="18"/>
          <w:szCs w:val="18"/>
        </w:rPr>
        <w:t>Research</w:t>
      </w:r>
      <w:proofErr w:type="spellEnd"/>
      <w:r w:rsidRPr="001A03A6">
        <w:rPr>
          <w:rStyle w:val="Accentuation"/>
          <w:sz w:val="18"/>
          <w:szCs w:val="18"/>
        </w:rPr>
        <w:t>, 19</w:t>
      </w:r>
      <w:r w:rsidRPr="001A03A6">
        <w:rPr>
          <w:sz w:val="18"/>
          <w:szCs w:val="18"/>
        </w:rPr>
        <w:t>(4), 85-92.</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lang w:val="en-US"/>
        </w:rPr>
        <w:t>Mera</w:t>
      </w:r>
      <w:proofErr w:type="spellEnd"/>
      <w:r w:rsidRPr="001A03A6">
        <w:rPr>
          <w:sz w:val="18"/>
          <w:szCs w:val="18"/>
          <w:lang w:val="en-US"/>
        </w:rPr>
        <w:t xml:space="preserve">, R. (2023). A social-ecological system approach to understanding and managing forest ecosystem services in the Andean-Amazon region. </w:t>
      </w:r>
      <w:proofErr w:type="spellStart"/>
      <w:r w:rsidRPr="001A03A6">
        <w:rPr>
          <w:rStyle w:val="Accentuation"/>
          <w:sz w:val="18"/>
          <w:szCs w:val="18"/>
        </w:rPr>
        <w:t>Environmental</w:t>
      </w:r>
      <w:proofErr w:type="spellEnd"/>
      <w:r w:rsidRPr="001A03A6">
        <w:rPr>
          <w:rStyle w:val="Accentuation"/>
          <w:sz w:val="18"/>
          <w:szCs w:val="18"/>
        </w:rPr>
        <w:t xml:space="preserve"> Management, 32</w:t>
      </w:r>
      <w:r w:rsidRPr="001A03A6">
        <w:rPr>
          <w:sz w:val="18"/>
          <w:szCs w:val="18"/>
        </w:rPr>
        <w:t>(3), 123-139.</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lang w:val="en-US"/>
        </w:rPr>
        <w:t>Mutambuki</w:t>
      </w:r>
      <w:proofErr w:type="spellEnd"/>
      <w:r w:rsidRPr="001A03A6">
        <w:rPr>
          <w:sz w:val="18"/>
          <w:szCs w:val="18"/>
          <w:lang w:val="en-US"/>
        </w:rPr>
        <w:t xml:space="preserve">, J. M. (2020). Forest ecosystem services as a tool for poverty reduction in the Congo Basin. </w:t>
      </w:r>
      <w:proofErr w:type="spellStart"/>
      <w:r w:rsidRPr="001A03A6">
        <w:rPr>
          <w:rStyle w:val="Accentuation"/>
          <w:sz w:val="18"/>
          <w:szCs w:val="18"/>
        </w:rPr>
        <w:t>African</w:t>
      </w:r>
      <w:proofErr w:type="spellEnd"/>
      <w:r w:rsidRPr="001A03A6">
        <w:rPr>
          <w:rStyle w:val="Accentuation"/>
          <w:sz w:val="18"/>
          <w:szCs w:val="18"/>
        </w:rPr>
        <w:t xml:space="preserve"> Journal of </w:t>
      </w:r>
      <w:proofErr w:type="spellStart"/>
      <w:r w:rsidRPr="001A03A6">
        <w:rPr>
          <w:rStyle w:val="Accentuation"/>
          <w:sz w:val="18"/>
          <w:szCs w:val="18"/>
        </w:rPr>
        <w:t>Environmental</w:t>
      </w:r>
      <w:proofErr w:type="spellEnd"/>
      <w:r w:rsidRPr="001A03A6">
        <w:rPr>
          <w:rStyle w:val="Accentuation"/>
          <w:sz w:val="18"/>
          <w:szCs w:val="18"/>
        </w:rPr>
        <w:t xml:space="preserve"> </w:t>
      </w:r>
      <w:proofErr w:type="spellStart"/>
      <w:r w:rsidRPr="001A03A6">
        <w:rPr>
          <w:rStyle w:val="Accentuation"/>
          <w:sz w:val="18"/>
          <w:szCs w:val="18"/>
        </w:rPr>
        <w:t>Economics</w:t>
      </w:r>
      <w:proofErr w:type="spellEnd"/>
      <w:r w:rsidRPr="001A03A6">
        <w:rPr>
          <w:rStyle w:val="Accentuation"/>
          <w:sz w:val="18"/>
          <w:szCs w:val="18"/>
        </w:rPr>
        <w:t xml:space="preserve"> and Management, 18</w:t>
      </w:r>
      <w:r w:rsidRPr="001A03A6">
        <w:rPr>
          <w:sz w:val="18"/>
          <w:szCs w:val="18"/>
        </w:rPr>
        <w:t>(1), 45-56.</w:t>
      </w:r>
    </w:p>
    <w:p w:rsidR="001A03A6" w:rsidRPr="001A03A6" w:rsidRDefault="001A03A6" w:rsidP="001A03A6">
      <w:pPr>
        <w:pStyle w:val="NormalWeb"/>
        <w:numPr>
          <w:ilvl w:val="0"/>
          <w:numId w:val="6"/>
        </w:numPr>
        <w:tabs>
          <w:tab w:val="clear" w:pos="720"/>
        </w:tabs>
        <w:ind w:left="284" w:hanging="284"/>
        <w:rPr>
          <w:sz w:val="18"/>
          <w:szCs w:val="18"/>
        </w:rPr>
      </w:pPr>
      <w:r w:rsidRPr="001A03A6">
        <w:rPr>
          <w:sz w:val="18"/>
          <w:szCs w:val="18"/>
          <w:lang w:val="en-US"/>
        </w:rPr>
        <w:t xml:space="preserve">Neilson, K., &amp; </w:t>
      </w:r>
      <w:proofErr w:type="spellStart"/>
      <w:r w:rsidRPr="001A03A6">
        <w:rPr>
          <w:sz w:val="18"/>
          <w:szCs w:val="18"/>
          <w:lang w:val="en-US"/>
        </w:rPr>
        <w:t>Costanza</w:t>
      </w:r>
      <w:proofErr w:type="spellEnd"/>
      <w:r w:rsidRPr="001A03A6">
        <w:rPr>
          <w:sz w:val="18"/>
          <w:szCs w:val="18"/>
          <w:lang w:val="en-US"/>
        </w:rPr>
        <w:t xml:space="preserve">, R. (2000). The value of the world's ecosystem services and natural capital. </w:t>
      </w:r>
      <w:r w:rsidRPr="001A03A6">
        <w:rPr>
          <w:rStyle w:val="Accentuation"/>
          <w:sz w:val="18"/>
          <w:szCs w:val="18"/>
        </w:rPr>
        <w:t>Nature, 387</w:t>
      </w:r>
      <w:r w:rsidRPr="001A03A6">
        <w:rPr>
          <w:sz w:val="18"/>
          <w:szCs w:val="18"/>
        </w:rPr>
        <w:t>(6630), 253-260.</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rPr>
        <w:t>Odia</w:t>
      </w:r>
      <w:proofErr w:type="spellEnd"/>
      <w:r w:rsidRPr="001A03A6">
        <w:rPr>
          <w:sz w:val="18"/>
          <w:szCs w:val="18"/>
        </w:rPr>
        <w:t xml:space="preserve">, C., et al. (2019). Participation communautaire dans la conservation des écosystèmes forestiers en Afrique de l’Ouest: Étude de cas au Nigeria. </w:t>
      </w:r>
      <w:r w:rsidRPr="001A03A6">
        <w:rPr>
          <w:rStyle w:val="Accentuation"/>
          <w:sz w:val="18"/>
          <w:szCs w:val="18"/>
        </w:rPr>
        <w:t xml:space="preserve">Forest </w:t>
      </w:r>
      <w:proofErr w:type="spellStart"/>
      <w:r w:rsidRPr="001A03A6">
        <w:rPr>
          <w:rStyle w:val="Accentuation"/>
          <w:sz w:val="18"/>
          <w:szCs w:val="18"/>
        </w:rPr>
        <w:t>Ecology</w:t>
      </w:r>
      <w:proofErr w:type="spellEnd"/>
      <w:r w:rsidRPr="001A03A6">
        <w:rPr>
          <w:rStyle w:val="Accentuation"/>
          <w:sz w:val="18"/>
          <w:szCs w:val="18"/>
        </w:rPr>
        <w:t xml:space="preserve"> and Management, 263</w:t>
      </w:r>
      <w:r w:rsidRPr="001A03A6">
        <w:rPr>
          <w:sz w:val="18"/>
          <w:szCs w:val="18"/>
        </w:rPr>
        <w:t>(2-3), 175-185.</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lang w:val="en-US"/>
        </w:rPr>
        <w:t>Paavola</w:t>
      </w:r>
      <w:proofErr w:type="spellEnd"/>
      <w:r w:rsidRPr="001A03A6">
        <w:rPr>
          <w:sz w:val="18"/>
          <w:szCs w:val="18"/>
          <w:lang w:val="en-US"/>
        </w:rPr>
        <w:t xml:space="preserve">, J., &amp; </w:t>
      </w:r>
      <w:proofErr w:type="spellStart"/>
      <w:r w:rsidRPr="001A03A6">
        <w:rPr>
          <w:sz w:val="18"/>
          <w:szCs w:val="18"/>
          <w:lang w:val="en-US"/>
        </w:rPr>
        <w:t>Adger</w:t>
      </w:r>
      <w:proofErr w:type="spellEnd"/>
      <w:r w:rsidRPr="001A03A6">
        <w:rPr>
          <w:sz w:val="18"/>
          <w:szCs w:val="18"/>
          <w:lang w:val="en-US"/>
        </w:rPr>
        <w:t xml:space="preserve">, W. N. (2005). Institutional ecological economics: The role of institutions in economic analysis of ecosystem services. </w:t>
      </w:r>
      <w:proofErr w:type="spellStart"/>
      <w:r w:rsidRPr="001A03A6">
        <w:rPr>
          <w:rStyle w:val="Accentuation"/>
          <w:sz w:val="18"/>
          <w:szCs w:val="18"/>
        </w:rPr>
        <w:t>Ecological</w:t>
      </w:r>
      <w:proofErr w:type="spellEnd"/>
      <w:r w:rsidRPr="001A03A6">
        <w:rPr>
          <w:rStyle w:val="Accentuation"/>
          <w:sz w:val="18"/>
          <w:szCs w:val="18"/>
        </w:rPr>
        <w:t xml:space="preserve"> </w:t>
      </w:r>
      <w:proofErr w:type="spellStart"/>
      <w:r w:rsidRPr="001A03A6">
        <w:rPr>
          <w:rStyle w:val="Accentuation"/>
          <w:sz w:val="18"/>
          <w:szCs w:val="18"/>
        </w:rPr>
        <w:t>Economics</w:t>
      </w:r>
      <w:proofErr w:type="spellEnd"/>
      <w:r w:rsidRPr="001A03A6">
        <w:rPr>
          <w:rStyle w:val="Accentuation"/>
          <w:sz w:val="18"/>
          <w:szCs w:val="18"/>
        </w:rPr>
        <w:t>, 53</w:t>
      </w:r>
      <w:r w:rsidRPr="001A03A6">
        <w:rPr>
          <w:sz w:val="18"/>
          <w:szCs w:val="18"/>
        </w:rPr>
        <w:t>(2), 353-367.</w:t>
      </w:r>
    </w:p>
    <w:p w:rsidR="001A03A6" w:rsidRPr="001A03A6" w:rsidRDefault="001A03A6" w:rsidP="001A03A6">
      <w:pPr>
        <w:pStyle w:val="NormalWeb"/>
        <w:numPr>
          <w:ilvl w:val="0"/>
          <w:numId w:val="6"/>
        </w:numPr>
        <w:tabs>
          <w:tab w:val="clear" w:pos="720"/>
        </w:tabs>
        <w:ind w:left="284" w:hanging="284"/>
        <w:rPr>
          <w:sz w:val="18"/>
          <w:szCs w:val="18"/>
        </w:rPr>
      </w:pPr>
      <w:r w:rsidRPr="001A03A6">
        <w:rPr>
          <w:sz w:val="18"/>
          <w:szCs w:val="18"/>
          <w:lang w:val="en-US"/>
        </w:rPr>
        <w:t xml:space="preserve">Palacios, P., et al. (2020). The effect of forest management practices on the resilience of ecosystem services in the Congo Basin. </w:t>
      </w:r>
      <w:r w:rsidRPr="001A03A6">
        <w:rPr>
          <w:rStyle w:val="Accentuation"/>
          <w:sz w:val="18"/>
          <w:szCs w:val="18"/>
        </w:rPr>
        <w:t xml:space="preserve">Journal of </w:t>
      </w:r>
      <w:proofErr w:type="spellStart"/>
      <w:r w:rsidRPr="001A03A6">
        <w:rPr>
          <w:rStyle w:val="Accentuation"/>
          <w:sz w:val="18"/>
          <w:szCs w:val="18"/>
        </w:rPr>
        <w:t>Environmental</w:t>
      </w:r>
      <w:proofErr w:type="spellEnd"/>
      <w:r w:rsidRPr="001A03A6">
        <w:rPr>
          <w:rStyle w:val="Accentuation"/>
          <w:sz w:val="18"/>
          <w:szCs w:val="18"/>
        </w:rPr>
        <w:t xml:space="preserve"> Management, 236</w:t>
      </w:r>
      <w:r w:rsidRPr="001A03A6">
        <w:rPr>
          <w:sz w:val="18"/>
          <w:szCs w:val="18"/>
        </w:rPr>
        <w:t>(2), 173-182.</w:t>
      </w:r>
    </w:p>
    <w:p w:rsidR="001A03A6" w:rsidRPr="001A03A6" w:rsidRDefault="001A03A6" w:rsidP="001A03A6">
      <w:pPr>
        <w:pStyle w:val="NormalWeb"/>
        <w:numPr>
          <w:ilvl w:val="0"/>
          <w:numId w:val="6"/>
        </w:numPr>
        <w:tabs>
          <w:tab w:val="clear" w:pos="720"/>
        </w:tabs>
        <w:ind w:left="284" w:hanging="284"/>
        <w:rPr>
          <w:sz w:val="18"/>
          <w:szCs w:val="18"/>
        </w:rPr>
      </w:pPr>
      <w:r w:rsidRPr="001A03A6">
        <w:rPr>
          <w:sz w:val="18"/>
          <w:szCs w:val="18"/>
          <w:lang w:val="en-US"/>
        </w:rPr>
        <w:t xml:space="preserve">Pan, Y., et al. (2011). A large and persistent carbon sink in the world’s forests. </w:t>
      </w:r>
      <w:r w:rsidRPr="001A03A6">
        <w:rPr>
          <w:rStyle w:val="Accentuation"/>
          <w:sz w:val="18"/>
          <w:szCs w:val="18"/>
        </w:rPr>
        <w:t>Science, 333</w:t>
      </w:r>
      <w:r w:rsidRPr="001A03A6">
        <w:rPr>
          <w:sz w:val="18"/>
          <w:szCs w:val="18"/>
        </w:rPr>
        <w:t>(6045), 988-993. https://doi.org/10.1126/science.1201609</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lang w:val="en-US"/>
        </w:rPr>
        <w:t>Rahlao</w:t>
      </w:r>
      <w:proofErr w:type="spellEnd"/>
      <w:r w:rsidRPr="001A03A6">
        <w:rPr>
          <w:sz w:val="18"/>
          <w:szCs w:val="18"/>
          <w:lang w:val="en-US"/>
        </w:rPr>
        <w:t xml:space="preserve">, S., et al. (2021). Perceptions and preferences of local communities towards forest ecosystem services in an urbanizing landscape: The case of two towns in Lesotho. </w:t>
      </w:r>
      <w:r w:rsidRPr="001A03A6">
        <w:rPr>
          <w:rStyle w:val="Accentuation"/>
          <w:sz w:val="18"/>
          <w:szCs w:val="18"/>
        </w:rPr>
        <w:t xml:space="preserve">Journal of </w:t>
      </w:r>
      <w:proofErr w:type="spellStart"/>
      <w:r w:rsidRPr="001A03A6">
        <w:rPr>
          <w:rStyle w:val="Accentuation"/>
          <w:sz w:val="18"/>
          <w:szCs w:val="18"/>
        </w:rPr>
        <w:t>Environmental</w:t>
      </w:r>
      <w:proofErr w:type="spellEnd"/>
      <w:r w:rsidRPr="001A03A6">
        <w:rPr>
          <w:rStyle w:val="Accentuation"/>
          <w:sz w:val="18"/>
          <w:szCs w:val="18"/>
        </w:rPr>
        <w:t xml:space="preserve"> Management, 306</w:t>
      </w:r>
      <w:r w:rsidRPr="001A03A6">
        <w:rPr>
          <w:sz w:val="18"/>
          <w:szCs w:val="18"/>
        </w:rPr>
        <w:t>, 114446.</w:t>
      </w:r>
    </w:p>
    <w:p w:rsidR="001A03A6" w:rsidRPr="001A03A6" w:rsidRDefault="001A03A6" w:rsidP="001A03A6">
      <w:pPr>
        <w:pStyle w:val="NormalWeb"/>
        <w:numPr>
          <w:ilvl w:val="0"/>
          <w:numId w:val="6"/>
        </w:numPr>
        <w:tabs>
          <w:tab w:val="clear" w:pos="720"/>
        </w:tabs>
        <w:ind w:left="284" w:hanging="284"/>
        <w:rPr>
          <w:sz w:val="18"/>
          <w:szCs w:val="18"/>
        </w:rPr>
      </w:pPr>
      <w:r w:rsidRPr="001A03A6">
        <w:rPr>
          <w:sz w:val="18"/>
          <w:szCs w:val="18"/>
          <w:lang w:val="en-US"/>
        </w:rPr>
        <w:t xml:space="preserve">Richardson, S. D., &amp; </w:t>
      </w:r>
      <w:proofErr w:type="spellStart"/>
      <w:r w:rsidRPr="001A03A6">
        <w:rPr>
          <w:sz w:val="18"/>
          <w:szCs w:val="18"/>
          <w:lang w:val="en-US"/>
        </w:rPr>
        <w:t>Ternes</w:t>
      </w:r>
      <w:proofErr w:type="spellEnd"/>
      <w:r w:rsidRPr="001A03A6">
        <w:rPr>
          <w:sz w:val="18"/>
          <w:szCs w:val="18"/>
          <w:lang w:val="en-US"/>
        </w:rPr>
        <w:t xml:space="preserve">, T. A. (2018). Water analysis: Emerging contaminants and current issues. </w:t>
      </w:r>
      <w:proofErr w:type="spellStart"/>
      <w:r w:rsidRPr="001A03A6">
        <w:rPr>
          <w:rStyle w:val="Accentuation"/>
          <w:sz w:val="18"/>
          <w:szCs w:val="18"/>
        </w:rPr>
        <w:t>Analytical</w:t>
      </w:r>
      <w:proofErr w:type="spellEnd"/>
      <w:r w:rsidRPr="001A03A6">
        <w:rPr>
          <w:rStyle w:val="Accentuation"/>
          <w:sz w:val="18"/>
          <w:szCs w:val="18"/>
        </w:rPr>
        <w:t xml:space="preserve"> </w:t>
      </w:r>
      <w:proofErr w:type="spellStart"/>
      <w:r w:rsidRPr="001A03A6">
        <w:rPr>
          <w:rStyle w:val="Accentuation"/>
          <w:sz w:val="18"/>
          <w:szCs w:val="18"/>
        </w:rPr>
        <w:t>Chemistry</w:t>
      </w:r>
      <w:proofErr w:type="spellEnd"/>
      <w:r w:rsidRPr="001A03A6">
        <w:rPr>
          <w:rStyle w:val="Accentuation"/>
          <w:sz w:val="18"/>
          <w:szCs w:val="18"/>
        </w:rPr>
        <w:t>, 90</w:t>
      </w:r>
      <w:r w:rsidRPr="001A03A6">
        <w:rPr>
          <w:sz w:val="18"/>
          <w:szCs w:val="18"/>
        </w:rPr>
        <w:t>(6), 398-429.</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rPr>
        <w:t>Silvério</w:t>
      </w:r>
      <w:proofErr w:type="spellEnd"/>
      <w:r w:rsidRPr="001A03A6">
        <w:rPr>
          <w:sz w:val="18"/>
          <w:szCs w:val="18"/>
        </w:rPr>
        <w:t xml:space="preserve">, D. V., et al. </w:t>
      </w:r>
      <w:r w:rsidRPr="001A03A6">
        <w:rPr>
          <w:sz w:val="18"/>
          <w:szCs w:val="18"/>
          <w:lang w:val="en-US"/>
        </w:rPr>
        <w:t xml:space="preserve">(2019). Amazon forest ecosystem services as a basis for sustainable development. </w:t>
      </w:r>
      <w:r w:rsidRPr="001A03A6">
        <w:rPr>
          <w:rStyle w:val="Accentuation"/>
          <w:sz w:val="18"/>
          <w:szCs w:val="18"/>
        </w:rPr>
        <w:t xml:space="preserve">Global </w:t>
      </w:r>
      <w:proofErr w:type="spellStart"/>
      <w:r w:rsidRPr="001A03A6">
        <w:rPr>
          <w:rStyle w:val="Accentuation"/>
          <w:sz w:val="18"/>
          <w:szCs w:val="18"/>
        </w:rPr>
        <w:t>Environmental</w:t>
      </w:r>
      <w:proofErr w:type="spellEnd"/>
      <w:r w:rsidRPr="001A03A6">
        <w:rPr>
          <w:rStyle w:val="Accentuation"/>
          <w:sz w:val="18"/>
          <w:szCs w:val="18"/>
        </w:rPr>
        <w:t xml:space="preserve"> Change, 58</w:t>
      </w:r>
      <w:r w:rsidRPr="001A03A6">
        <w:rPr>
          <w:sz w:val="18"/>
          <w:szCs w:val="18"/>
        </w:rPr>
        <w:t>, 101962. https://doi.org/10.1016/j.gloenvcha.2019.101962</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lang w:val="en-US"/>
        </w:rPr>
        <w:t>Spenceley</w:t>
      </w:r>
      <w:proofErr w:type="spellEnd"/>
      <w:r w:rsidRPr="001A03A6">
        <w:rPr>
          <w:sz w:val="18"/>
          <w:szCs w:val="18"/>
          <w:lang w:val="en-US"/>
        </w:rPr>
        <w:t xml:space="preserve">, A. (2017). Key steps for implementing and managing a successful protected area management strategy. </w:t>
      </w:r>
      <w:r w:rsidRPr="001A03A6">
        <w:rPr>
          <w:rStyle w:val="Accentuation"/>
          <w:sz w:val="18"/>
          <w:szCs w:val="18"/>
        </w:rPr>
        <w:t xml:space="preserve">Journal of </w:t>
      </w:r>
      <w:proofErr w:type="spellStart"/>
      <w:r w:rsidRPr="001A03A6">
        <w:rPr>
          <w:rStyle w:val="Accentuation"/>
          <w:sz w:val="18"/>
          <w:szCs w:val="18"/>
        </w:rPr>
        <w:t>Ecotourism</w:t>
      </w:r>
      <w:proofErr w:type="spellEnd"/>
      <w:r w:rsidRPr="001A03A6">
        <w:rPr>
          <w:rStyle w:val="Accentuation"/>
          <w:sz w:val="18"/>
          <w:szCs w:val="18"/>
        </w:rPr>
        <w:t>, 16</w:t>
      </w:r>
      <w:r w:rsidRPr="001A03A6">
        <w:rPr>
          <w:sz w:val="18"/>
          <w:szCs w:val="18"/>
        </w:rPr>
        <w:t>(2), 105-121.</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lang w:val="en-US"/>
        </w:rPr>
        <w:t>Tabaro</w:t>
      </w:r>
      <w:proofErr w:type="spellEnd"/>
      <w:r w:rsidRPr="001A03A6">
        <w:rPr>
          <w:sz w:val="18"/>
          <w:szCs w:val="18"/>
          <w:lang w:val="en-US"/>
        </w:rPr>
        <w:t xml:space="preserve">, K., et al. (2023). Spatial-temporal analysis of deforestation drivers in the eastern part of the Congo Basin. </w:t>
      </w:r>
      <w:r w:rsidRPr="001A03A6">
        <w:rPr>
          <w:rStyle w:val="Accentuation"/>
          <w:sz w:val="18"/>
          <w:szCs w:val="18"/>
        </w:rPr>
        <w:t xml:space="preserve">Journal of </w:t>
      </w:r>
      <w:proofErr w:type="spellStart"/>
      <w:r w:rsidRPr="001A03A6">
        <w:rPr>
          <w:rStyle w:val="Accentuation"/>
          <w:sz w:val="18"/>
          <w:szCs w:val="18"/>
        </w:rPr>
        <w:t>Forestry</w:t>
      </w:r>
      <w:proofErr w:type="spellEnd"/>
      <w:r w:rsidRPr="001A03A6">
        <w:rPr>
          <w:rStyle w:val="Accentuation"/>
          <w:sz w:val="18"/>
          <w:szCs w:val="18"/>
        </w:rPr>
        <w:t xml:space="preserve"> </w:t>
      </w:r>
      <w:proofErr w:type="spellStart"/>
      <w:r w:rsidRPr="001A03A6">
        <w:rPr>
          <w:rStyle w:val="Accentuation"/>
          <w:sz w:val="18"/>
          <w:szCs w:val="18"/>
        </w:rPr>
        <w:t>Research</w:t>
      </w:r>
      <w:proofErr w:type="spellEnd"/>
      <w:r w:rsidRPr="001A03A6">
        <w:rPr>
          <w:sz w:val="18"/>
          <w:szCs w:val="18"/>
        </w:rPr>
        <w:t>.</w:t>
      </w:r>
    </w:p>
    <w:p w:rsidR="001A03A6" w:rsidRPr="001A03A6" w:rsidRDefault="001A03A6" w:rsidP="001A03A6">
      <w:pPr>
        <w:pStyle w:val="NormalWeb"/>
        <w:numPr>
          <w:ilvl w:val="0"/>
          <w:numId w:val="6"/>
        </w:numPr>
        <w:tabs>
          <w:tab w:val="clear" w:pos="720"/>
        </w:tabs>
        <w:ind w:left="284" w:hanging="284"/>
        <w:rPr>
          <w:sz w:val="18"/>
          <w:szCs w:val="18"/>
        </w:rPr>
      </w:pPr>
      <w:r w:rsidRPr="001A03A6">
        <w:rPr>
          <w:sz w:val="18"/>
          <w:szCs w:val="18"/>
        </w:rPr>
        <w:t xml:space="preserve">Thion, S., et al. (2019). Les services </w:t>
      </w:r>
      <w:proofErr w:type="spellStart"/>
      <w:r w:rsidRPr="001A03A6">
        <w:rPr>
          <w:sz w:val="18"/>
          <w:szCs w:val="18"/>
        </w:rPr>
        <w:t>écosystémiques</w:t>
      </w:r>
      <w:proofErr w:type="spellEnd"/>
      <w:r w:rsidRPr="001A03A6">
        <w:rPr>
          <w:sz w:val="18"/>
          <w:szCs w:val="18"/>
        </w:rPr>
        <w:t xml:space="preserve">: Outils pour une gestion intégrée des ressources naturelles dans la région du Mont Cameroun. </w:t>
      </w:r>
      <w:r w:rsidRPr="001A03A6">
        <w:rPr>
          <w:rStyle w:val="Accentuation"/>
          <w:sz w:val="18"/>
          <w:szCs w:val="18"/>
        </w:rPr>
        <w:t>Revue Scientifique du Cameroun, 32</w:t>
      </w:r>
      <w:r w:rsidRPr="001A03A6">
        <w:rPr>
          <w:sz w:val="18"/>
          <w:szCs w:val="18"/>
        </w:rPr>
        <w:t>(1), 89-101.</w:t>
      </w:r>
    </w:p>
    <w:p w:rsidR="001A03A6" w:rsidRPr="001A03A6" w:rsidRDefault="001A03A6" w:rsidP="001A03A6">
      <w:pPr>
        <w:pStyle w:val="NormalWeb"/>
        <w:numPr>
          <w:ilvl w:val="0"/>
          <w:numId w:val="6"/>
        </w:numPr>
        <w:tabs>
          <w:tab w:val="clear" w:pos="720"/>
        </w:tabs>
        <w:ind w:left="284" w:hanging="284"/>
        <w:rPr>
          <w:sz w:val="18"/>
          <w:szCs w:val="18"/>
        </w:rPr>
      </w:pPr>
      <w:r w:rsidRPr="001A03A6">
        <w:rPr>
          <w:sz w:val="18"/>
          <w:szCs w:val="18"/>
        </w:rPr>
        <w:t xml:space="preserve">Thomas, W. S. (2020). Perceptions et connaissances des populations locales sur les services </w:t>
      </w:r>
      <w:proofErr w:type="spellStart"/>
      <w:r w:rsidRPr="001A03A6">
        <w:rPr>
          <w:sz w:val="18"/>
          <w:szCs w:val="18"/>
        </w:rPr>
        <w:t>écosystémiques</w:t>
      </w:r>
      <w:proofErr w:type="spellEnd"/>
      <w:r w:rsidRPr="001A03A6">
        <w:rPr>
          <w:sz w:val="18"/>
          <w:szCs w:val="18"/>
        </w:rPr>
        <w:t xml:space="preserve"> dans les zones forestières du sud-est du Bénin. </w:t>
      </w:r>
      <w:r w:rsidRPr="001A03A6">
        <w:rPr>
          <w:rStyle w:val="Accentuation"/>
          <w:sz w:val="18"/>
          <w:szCs w:val="18"/>
        </w:rPr>
        <w:t xml:space="preserve">Forest </w:t>
      </w:r>
      <w:proofErr w:type="spellStart"/>
      <w:r w:rsidRPr="001A03A6">
        <w:rPr>
          <w:rStyle w:val="Accentuation"/>
          <w:sz w:val="18"/>
          <w:szCs w:val="18"/>
        </w:rPr>
        <w:t>Ecosystem</w:t>
      </w:r>
      <w:proofErr w:type="spellEnd"/>
      <w:r w:rsidRPr="001A03A6">
        <w:rPr>
          <w:rStyle w:val="Accentuation"/>
          <w:sz w:val="18"/>
          <w:szCs w:val="18"/>
        </w:rPr>
        <w:t xml:space="preserve"> Services, 5</w:t>
      </w:r>
      <w:r w:rsidRPr="001A03A6">
        <w:rPr>
          <w:sz w:val="18"/>
          <w:szCs w:val="18"/>
        </w:rPr>
        <w:t>(2), 65-78.</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rPr>
        <w:t>Tikson</w:t>
      </w:r>
      <w:proofErr w:type="spellEnd"/>
      <w:r w:rsidRPr="001A03A6">
        <w:rPr>
          <w:sz w:val="18"/>
          <w:szCs w:val="18"/>
        </w:rPr>
        <w:t xml:space="preserve">, M. (2020). Évaluation de la perte de carbone due à la déforestation dans les forêts tropicales humides du Congo. </w:t>
      </w:r>
      <w:r w:rsidRPr="001A03A6">
        <w:rPr>
          <w:rStyle w:val="Accentuation"/>
          <w:sz w:val="18"/>
          <w:szCs w:val="18"/>
        </w:rPr>
        <w:t xml:space="preserve">Journal of Forest </w:t>
      </w:r>
      <w:proofErr w:type="spellStart"/>
      <w:r w:rsidRPr="001A03A6">
        <w:rPr>
          <w:rStyle w:val="Accentuation"/>
          <w:sz w:val="18"/>
          <w:szCs w:val="18"/>
        </w:rPr>
        <w:t>Research</w:t>
      </w:r>
      <w:proofErr w:type="spellEnd"/>
      <w:r w:rsidRPr="001A03A6">
        <w:rPr>
          <w:rStyle w:val="Accentuation"/>
          <w:sz w:val="18"/>
          <w:szCs w:val="18"/>
        </w:rPr>
        <w:t>, 35</w:t>
      </w:r>
      <w:r w:rsidRPr="001A03A6">
        <w:rPr>
          <w:sz w:val="18"/>
          <w:szCs w:val="18"/>
        </w:rPr>
        <w:t>(4), 521-530.</w:t>
      </w:r>
    </w:p>
    <w:p w:rsidR="001A03A6" w:rsidRPr="001A03A6" w:rsidRDefault="001A03A6" w:rsidP="001A03A6">
      <w:pPr>
        <w:pStyle w:val="NormalWeb"/>
        <w:numPr>
          <w:ilvl w:val="0"/>
          <w:numId w:val="6"/>
        </w:numPr>
        <w:tabs>
          <w:tab w:val="clear" w:pos="720"/>
        </w:tabs>
        <w:ind w:left="284" w:hanging="284"/>
        <w:rPr>
          <w:sz w:val="18"/>
          <w:szCs w:val="18"/>
        </w:rPr>
      </w:pPr>
      <w:r w:rsidRPr="001A03A6">
        <w:rPr>
          <w:sz w:val="18"/>
          <w:szCs w:val="18"/>
        </w:rPr>
        <w:t xml:space="preserve">Turner, W. R., et al. </w:t>
      </w:r>
      <w:r w:rsidRPr="001A03A6">
        <w:rPr>
          <w:sz w:val="18"/>
          <w:szCs w:val="18"/>
          <w:lang w:val="en-US"/>
        </w:rPr>
        <w:t xml:space="preserve">(2007). Global conservation of biodiversity and ecosystem services. </w:t>
      </w:r>
      <w:proofErr w:type="spellStart"/>
      <w:r w:rsidRPr="001A03A6">
        <w:rPr>
          <w:rStyle w:val="Accentuation"/>
          <w:sz w:val="18"/>
          <w:szCs w:val="18"/>
        </w:rPr>
        <w:t>BioScience</w:t>
      </w:r>
      <w:proofErr w:type="spellEnd"/>
      <w:r w:rsidRPr="001A03A6">
        <w:rPr>
          <w:rStyle w:val="Accentuation"/>
          <w:sz w:val="18"/>
          <w:szCs w:val="18"/>
        </w:rPr>
        <w:t>, 57</w:t>
      </w:r>
      <w:r w:rsidRPr="001A03A6">
        <w:rPr>
          <w:sz w:val="18"/>
          <w:szCs w:val="18"/>
        </w:rPr>
        <w:t>(10), 868-873. https://doi.org/10.1641/B571009</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rPr>
        <w:t>Urech</w:t>
      </w:r>
      <w:proofErr w:type="spellEnd"/>
      <w:r w:rsidRPr="001A03A6">
        <w:rPr>
          <w:sz w:val="18"/>
          <w:szCs w:val="18"/>
        </w:rPr>
        <w:t xml:space="preserve">, Z. L., et al. (2015). Le rôle des services </w:t>
      </w:r>
      <w:proofErr w:type="spellStart"/>
      <w:r w:rsidRPr="001A03A6">
        <w:rPr>
          <w:sz w:val="18"/>
          <w:szCs w:val="18"/>
        </w:rPr>
        <w:t>écosystémiques</w:t>
      </w:r>
      <w:proofErr w:type="spellEnd"/>
      <w:r w:rsidRPr="001A03A6">
        <w:rPr>
          <w:sz w:val="18"/>
          <w:szCs w:val="18"/>
        </w:rPr>
        <w:t xml:space="preserve"> forestiers dans le bien-être des communautés rurales du nord de Madagascar. </w:t>
      </w:r>
      <w:r w:rsidRPr="001A03A6">
        <w:rPr>
          <w:rStyle w:val="Accentuation"/>
          <w:sz w:val="18"/>
          <w:szCs w:val="18"/>
        </w:rPr>
        <w:t xml:space="preserve">International </w:t>
      </w:r>
      <w:proofErr w:type="spellStart"/>
      <w:r w:rsidRPr="001A03A6">
        <w:rPr>
          <w:rStyle w:val="Accentuation"/>
          <w:sz w:val="18"/>
          <w:szCs w:val="18"/>
        </w:rPr>
        <w:t>Forestry</w:t>
      </w:r>
      <w:proofErr w:type="spellEnd"/>
      <w:r w:rsidRPr="001A03A6">
        <w:rPr>
          <w:rStyle w:val="Accentuation"/>
          <w:sz w:val="18"/>
          <w:szCs w:val="18"/>
        </w:rPr>
        <w:t xml:space="preserve"> </w:t>
      </w:r>
      <w:proofErr w:type="spellStart"/>
      <w:r w:rsidRPr="001A03A6">
        <w:rPr>
          <w:rStyle w:val="Accentuation"/>
          <w:sz w:val="18"/>
          <w:szCs w:val="18"/>
        </w:rPr>
        <w:t>Review</w:t>
      </w:r>
      <w:proofErr w:type="spellEnd"/>
      <w:r w:rsidRPr="001A03A6">
        <w:rPr>
          <w:rStyle w:val="Accentuation"/>
          <w:sz w:val="18"/>
          <w:szCs w:val="18"/>
        </w:rPr>
        <w:t>, 17</w:t>
      </w:r>
      <w:r w:rsidRPr="001A03A6">
        <w:rPr>
          <w:sz w:val="18"/>
          <w:szCs w:val="18"/>
        </w:rPr>
        <w:t>(3), 283-295.</w:t>
      </w:r>
    </w:p>
    <w:p w:rsidR="001A03A6" w:rsidRPr="001A03A6" w:rsidRDefault="001A03A6" w:rsidP="001A03A6">
      <w:pPr>
        <w:pStyle w:val="NormalWeb"/>
        <w:numPr>
          <w:ilvl w:val="0"/>
          <w:numId w:val="6"/>
        </w:numPr>
        <w:tabs>
          <w:tab w:val="clear" w:pos="720"/>
        </w:tabs>
        <w:ind w:left="284" w:hanging="284"/>
        <w:rPr>
          <w:sz w:val="18"/>
          <w:szCs w:val="18"/>
          <w:lang w:val="en-US"/>
        </w:rPr>
      </w:pPr>
      <w:proofErr w:type="spellStart"/>
      <w:r w:rsidRPr="001A03A6">
        <w:rPr>
          <w:sz w:val="18"/>
          <w:szCs w:val="18"/>
          <w:lang w:val="en-US"/>
        </w:rPr>
        <w:t>Vaghefi</w:t>
      </w:r>
      <w:proofErr w:type="spellEnd"/>
      <w:r w:rsidRPr="001A03A6">
        <w:rPr>
          <w:sz w:val="18"/>
          <w:szCs w:val="18"/>
          <w:lang w:val="en-US"/>
        </w:rPr>
        <w:t xml:space="preserve">, N., et al. (2019). Role of ecosystem services in the sustainable management of the Atlantic forest. </w:t>
      </w:r>
      <w:r w:rsidRPr="001A03A6">
        <w:rPr>
          <w:rStyle w:val="Accentuation"/>
          <w:sz w:val="18"/>
          <w:szCs w:val="18"/>
          <w:lang w:val="en-US"/>
        </w:rPr>
        <w:t>Journal of Sustainable Forestry, 38</w:t>
      </w:r>
      <w:r w:rsidRPr="001A03A6">
        <w:rPr>
          <w:sz w:val="18"/>
          <w:szCs w:val="18"/>
          <w:lang w:val="en-US"/>
        </w:rPr>
        <w:t>(1), 101-117. https://doi.org/10.1080/10549811.2019.1656371</w:t>
      </w:r>
    </w:p>
    <w:p w:rsidR="001A03A6" w:rsidRPr="001A03A6" w:rsidRDefault="001A03A6" w:rsidP="001A03A6">
      <w:pPr>
        <w:pStyle w:val="NormalWeb"/>
        <w:numPr>
          <w:ilvl w:val="0"/>
          <w:numId w:val="6"/>
        </w:numPr>
        <w:tabs>
          <w:tab w:val="clear" w:pos="720"/>
        </w:tabs>
        <w:ind w:left="284" w:hanging="284"/>
        <w:rPr>
          <w:sz w:val="18"/>
          <w:szCs w:val="18"/>
        </w:rPr>
      </w:pPr>
      <w:r w:rsidRPr="001A03A6">
        <w:rPr>
          <w:sz w:val="18"/>
          <w:szCs w:val="18"/>
        </w:rPr>
        <w:t xml:space="preserve">Vasquez, D., et al. (2018). Influence des services </w:t>
      </w:r>
      <w:proofErr w:type="spellStart"/>
      <w:r w:rsidRPr="001A03A6">
        <w:rPr>
          <w:sz w:val="18"/>
          <w:szCs w:val="18"/>
        </w:rPr>
        <w:t>écosystémiques</w:t>
      </w:r>
      <w:proofErr w:type="spellEnd"/>
      <w:r w:rsidRPr="001A03A6">
        <w:rPr>
          <w:sz w:val="18"/>
          <w:szCs w:val="18"/>
        </w:rPr>
        <w:t xml:space="preserve"> forestiers sur la santé des populations locales en Amazonie péruvienne. </w:t>
      </w:r>
      <w:r w:rsidRPr="001A03A6">
        <w:rPr>
          <w:rStyle w:val="Accentuation"/>
          <w:sz w:val="18"/>
          <w:szCs w:val="18"/>
        </w:rPr>
        <w:t xml:space="preserve">International Journal of </w:t>
      </w:r>
      <w:proofErr w:type="spellStart"/>
      <w:r w:rsidRPr="001A03A6">
        <w:rPr>
          <w:rStyle w:val="Accentuation"/>
          <w:sz w:val="18"/>
          <w:szCs w:val="18"/>
        </w:rPr>
        <w:t>Environmental</w:t>
      </w:r>
      <w:proofErr w:type="spellEnd"/>
      <w:r w:rsidRPr="001A03A6">
        <w:rPr>
          <w:rStyle w:val="Accentuation"/>
          <w:sz w:val="18"/>
          <w:szCs w:val="18"/>
        </w:rPr>
        <w:t xml:space="preserve"> </w:t>
      </w:r>
      <w:proofErr w:type="spellStart"/>
      <w:r w:rsidRPr="001A03A6">
        <w:rPr>
          <w:rStyle w:val="Accentuation"/>
          <w:sz w:val="18"/>
          <w:szCs w:val="18"/>
        </w:rPr>
        <w:t>Research</w:t>
      </w:r>
      <w:proofErr w:type="spellEnd"/>
      <w:r w:rsidRPr="001A03A6">
        <w:rPr>
          <w:rStyle w:val="Accentuation"/>
          <w:sz w:val="18"/>
          <w:szCs w:val="18"/>
        </w:rPr>
        <w:t xml:space="preserve"> and Public </w:t>
      </w:r>
      <w:proofErr w:type="spellStart"/>
      <w:r w:rsidRPr="001A03A6">
        <w:rPr>
          <w:rStyle w:val="Accentuation"/>
          <w:sz w:val="18"/>
          <w:szCs w:val="18"/>
        </w:rPr>
        <w:t>Health</w:t>
      </w:r>
      <w:proofErr w:type="spellEnd"/>
      <w:r w:rsidRPr="001A03A6">
        <w:rPr>
          <w:rStyle w:val="Accentuation"/>
          <w:sz w:val="18"/>
          <w:szCs w:val="18"/>
        </w:rPr>
        <w:t>, 15</w:t>
      </w:r>
      <w:r w:rsidRPr="001A03A6">
        <w:rPr>
          <w:sz w:val="18"/>
          <w:szCs w:val="18"/>
        </w:rPr>
        <w:t>(2), 165.</w:t>
      </w:r>
    </w:p>
    <w:p w:rsidR="001A03A6" w:rsidRPr="001A03A6" w:rsidRDefault="001A03A6" w:rsidP="001A03A6">
      <w:pPr>
        <w:pStyle w:val="NormalWeb"/>
        <w:numPr>
          <w:ilvl w:val="0"/>
          <w:numId w:val="6"/>
        </w:numPr>
        <w:tabs>
          <w:tab w:val="clear" w:pos="720"/>
        </w:tabs>
        <w:ind w:left="284" w:hanging="284"/>
        <w:rPr>
          <w:sz w:val="18"/>
          <w:szCs w:val="18"/>
        </w:rPr>
      </w:pPr>
      <w:r w:rsidRPr="001A03A6">
        <w:rPr>
          <w:sz w:val="18"/>
          <w:szCs w:val="18"/>
          <w:lang w:val="en-US"/>
        </w:rPr>
        <w:t xml:space="preserve">Wang, S., &amp; Lo, K. (2021). Spatial analysis of ecosystem services supply and demand in China. </w:t>
      </w:r>
      <w:proofErr w:type="spellStart"/>
      <w:r w:rsidRPr="001A03A6">
        <w:rPr>
          <w:rStyle w:val="Accentuation"/>
          <w:sz w:val="18"/>
          <w:szCs w:val="18"/>
        </w:rPr>
        <w:t>Landscape</w:t>
      </w:r>
      <w:proofErr w:type="spellEnd"/>
      <w:r w:rsidRPr="001A03A6">
        <w:rPr>
          <w:rStyle w:val="Accentuation"/>
          <w:sz w:val="18"/>
          <w:szCs w:val="18"/>
        </w:rPr>
        <w:t xml:space="preserve"> and </w:t>
      </w:r>
      <w:proofErr w:type="spellStart"/>
      <w:r w:rsidRPr="001A03A6">
        <w:rPr>
          <w:rStyle w:val="Accentuation"/>
          <w:sz w:val="18"/>
          <w:szCs w:val="18"/>
        </w:rPr>
        <w:t>Urban</w:t>
      </w:r>
      <w:proofErr w:type="spellEnd"/>
      <w:r w:rsidRPr="001A03A6">
        <w:rPr>
          <w:rStyle w:val="Accentuation"/>
          <w:sz w:val="18"/>
          <w:szCs w:val="18"/>
        </w:rPr>
        <w:t xml:space="preserve"> Planning, 207</w:t>
      </w:r>
      <w:r w:rsidRPr="001A03A6">
        <w:rPr>
          <w:sz w:val="18"/>
          <w:szCs w:val="18"/>
        </w:rPr>
        <w:t>, 104016. https://doi.org/10.1016/j.landurbplan.2020.104016</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lang w:val="en-US"/>
        </w:rPr>
        <w:t>Werger</w:t>
      </w:r>
      <w:proofErr w:type="spellEnd"/>
      <w:r w:rsidRPr="001A03A6">
        <w:rPr>
          <w:sz w:val="18"/>
          <w:szCs w:val="18"/>
          <w:lang w:val="en-US"/>
        </w:rPr>
        <w:t xml:space="preserve">, M. J. A., &amp; van </w:t>
      </w:r>
      <w:proofErr w:type="spellStart"/>
      <w:r w:rsidRPr="001A03A6">
        <w:rPr>
          <w:sz w:val="18"/>
          <w:szCs w:val="18"/>
          <w:lang w:val="en-US"/>
        </w:rPr>
        <w:t>Staalduinen</w:t>
      </w:r>
      <w:proofErr w:type="spellEnd"/>
      <w:r w:rsidRPr="001A03A6">
        <w:rPr>
          <w:sz w:val="18"/>
          <w:szCs w:val="18"/>
          <w:lang w:val="en-US"/>
        </w:rPr>
        <w:t xml:space="preserve">, M. A. (2012). Eurasian steppes. </w:t>
      </w:r>
      <w:r w:rsidRPr="001A03A6">
        <w:rPr>
          <w:rStyle w:val="Accentuation"/>
          <w:sz w:val="18"/>
          <w:szCs w:val="18"/>
          <w:lang w:val="en-US"/>
        </w:rPr>
        <w:t>Ecological Problems and Livelihoods in a Changing World</w:t>
      </w:r>
      <w:r w:rsidRPr="001A03A6">
        <w:rPr>
          <w:sz w:val="18"/>
          <w:szCs w:val="18"/>
          <w:lang w:val="en-US"/>
        </w:rPr>
        <w:t xml:space="preserve">. </w:t>
      </w:r>
      <w:r w:rsidRPr="001A03A6">
        <w:rPr>
          <w:sz w:val="18"/>
          <w:szCs w:val="18"/>
        </w:rPr>
        <w:t>Springer.</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rPr>
        <w:t>Woolmer</w:t>
      </w:r>
      <w:proofErr w:type="spellEnd"/>
      <w:r w:rsidRPr="001A03A6">
        <w:rPr>
          <w:sz w:val="18"/>
          <w:szCs w:val="18"/>
        </w:rPr>
        <w:t xml:space="preserve">, J., et al. (2020). La gestion des services </w:t>
      </w:r>
      <w:proofErr w:type="spellStart"/>
      <w:r w:rsidRPr="001A03A6">
        <w:rPr>
          <w:sz w:val="18"/>
          <w:szCs w:val="18"/>
        </w:rPr>
        <w:t>écosystémiques</w:t>
      </w:r>
      <w:proofErr w:type="spellEnd"/>
      <w:r w:rsidRPr="001A03A6">
        <w:rPr>
          <w:sz w:val="18"/>
          <w:szCs w:val="18"/>
        </w:rPr>
        <w:t xml:space="preserve"> pour la conservation des forêts tropicales: Un guide pour les décideurs. </w:t>
      </w:r>
      <w:proofErr w:type="spellStart"/>
      <w:r w:rsidRPr="001A03A6">
        <w:rPr>
          <w:rStyle w:val="Accentuation"/>
          <w:sz w:val="18"/>
          <w:szCs w:val="18"/>
        </w:rPr>
        <w:t>Ecological</w:t>
      </w:r>
      <w:proofErr w:type="spellEnd"/>
      <w:r w:rsidRPr="001A03A6">
        <w:rPr>
          <w:rStyle w:val="Accentuation"/>
          <w:sz w:val="18"/>
          <w:szCs w:val="18"/>
        </w:rPr>
        <w:t xml:space="preserve"> Applications, 30</w:t>
      </w:r>
      <w:r w:rsidRPr="001A03A6">
        <w:rPr>
          <w:sz w:val="18"/>
          <w:szCs w:val="18"/>
        </w:rPr>
        <w:t>(2), e02015.</w:t>
      </w:r>
    </w:p>
    <w:p w:rsidR="001A03A6" w:rsidRPr="001A03A6" w:rsidRDefault="001A03A6" w:rsidP="001A03A6">
      <w:pPr>
        <w:pStyle w:val="NormalWeb"/>
        <w:numPr>
          <w:ilvl w:val="0"/>
          <w:numId w:val="6"/>
        </w:numPr>
        <w:tabs>
          <w:tab w:val="clear" w:pos="720"/>
        </w:tabs>
        <w:ind w:left="284" w:hanging="284"/>
        <w:rPr>
          <w:sz w:val="18"/>
          <w:szCs w:val="18"/>
        </w:rPr>
      </w:pPr>
      <w:proofErr w:type="spellStart"/>
      <w:r w:rsidRPr="001A03A6">
        <w:rPr>
          <w:sz w:val="18"/>
          <w:szCs w:val="18"/>
        </w:rPr>
        <w:t>Zomen</w:t>
      </w:r>
      <w:proofErr w:type="spellEnd"/>
      <w:r w:rsidRPr="001A03A6">
        <w:rPr>
          <w:sz w:val="18"/>
          <w:szCs w:val="18"/>
        </w:rPr>
        <w:t xml:space="preserve">, H., et al. (2023). Dynamique de la couverture forestière dans le bassin du Congo entre 2000 et 2020. </w:t>
      </w:r>
      <w:r w:rsidRPr="001A03A6">
        <w:rPr>
          <w:rStyle w:val="Accentuation"/>
          <w:sz w:val="18"/>
          <w:szCs w:val="18"/>
        </w:rPr>
        <w:t xml:space="preserve">Journal of Forest </w:t>
      </w:r>
      <w:proofErr w:type="spellStart"/>
      <w:r w:rsidRPr="001A03A6">
        <w:rPr>
          <w:rStyle w:val="Accentuation"/>
          <w:sz w:val="18"/>
          <w:szCs w:val="18"/>
        </w:rPr>
        <w:t>Research</w:t>
      </w:r>
      <w:proofErr w:type="spellEnd"/>
      <w:r w:rsidRPr="001A03A6">
        <w:rPr>
          <w:rStyle w:val="Accentuation"/>
          <w:sz w:val="18"/>
          <w:szCs w:val="18"/>
        </w:rPr>
        <w:t>, 28</w:t>
      </w:r>
      <w:r w:rsidRPr="001A03A6">
        <w:rPr>
          <w:sz w:val="18"/>
          <w:szCs w:val="18"/>
        </w:rPr>
        <w:t>(1), 85-97. https://doi.org/10.1016/j.jfr.2023.01.007</w:t>
      </w:r>
    </w:p>
    <w:p w:rsidR="00F145A9" w:rsidRPr="00890212" w:rsidRDefault="00F145A9" w:rsidP="001A03A6">
      <w:pPr>
        <w:spacing w:line="240" w:lineRule="auto"/>
        <w:jc w:val="both"/>
        <w:rPr>
          <w:rFonts w:cs="Times New Roman"/>
          <w:sz w:val="18"/>
          <w:szCs w:val="18"/>
        </w:rPr>
      </w:pPr>
    </w:p>
    <w:sectPr w:rsidR="00F145A9" w:rsidRPr="00890212" w:rsidSect="001A03A6">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05pt;height:11.05pt" o:bullet="t">
        <v:imagedata r:id="rId1" o:title="msoE547"/>
      </v:shape>
    </w:pict>
  </w:numPicBullet>
  <w:abstractNum w:abstractNumId="0">
    <w:nsid w:val="0ECD7C81"/>
    <w:multiLevelType w:val="hybridMultilevel"/>
    <w:tmpl w:val="87FC5208"/>
    <w:lvl w:ilvl="0" w:tplc="040C0007">
      <w:start w:val="1"/>
      <w:numFmt w:val="bullet"/>
      <w:lvlText w:val=""/>
      <w:lvlPicBulletId w:val="0"/>
      <w:lvlJc w:val="left"/>
      <w:pPr>
        <w:ind w:left="720" w:hanging="360"/>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13C119D"/>
    <w:multiLevelType w:val="multilevel"/>
    <w:tmpl w:val="FAC05E28"/>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2">
    <w:nsid w:val="4D120234"/>
    <w:multiLevelType w:val="multilevel"/>
    <w:tmpl w:val="60EEED0A"/>
    <w:lvl w:ilvl="0">
      <w:start w:val="3"/>
      <w:numFmt w:val="decimal"/>
      <w:lvlText w:val="%1."/>
      <w:lvlJc w:val="left"/>
      <w:pPr>
        <w:ind w:left="720" w:hanging="72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
    <w:nsid w:val="556C53F8"/>
    <w:multiLevelType w:val="multilevel"/>
    <w:tmpl w:val="11D8E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2E3CFA"/>
    <w:multiLevelType w:val="hybridMultilevel"/>
    <w:tmpl w:val="63A05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EF55EEC"/>
    <w:multiLevelType w:val="multilevel"/>
    <w:tmpl w:val="9D1E2DC0"/>
    <w:lvl w:ilvl="0">
      <w:start w:val="3"/>
      <w:numFmt w:val="decimal"/>
      <w:lvlText w:val="%1."/>
      <w:lvlJc w:val="left"/>
      <w:pPr>
        <w:ind w:left="720" w:hanging="720"/>
      </w:pPr>
      <w:rPr>
        <w:rFonts w:eastAsia="SimSun" w:cs="Times New Roman" w:hint="default"/>
      </w:rPr>
    </w:lvl>
    <w:lvl w:ilvl="1">
      <w:start w:val="2"/>
      <w:numFmt w:val="decimal"/>
      <w:lvlText w:val="%1.%2."/>
      <w:lvlJc w:val="left"/>
      <w:pPr>
        <w:ind w:left="720" w:hanging="720"/>
      </w:pPr>
      <w:rPr>
        <w:rFonts w:eastAsia="SimSun" w:cs="Times New Roman" w:hint="default"/>
      </w:rPr>
    </w:lvl>
    <w:lvl w:ilvl="2">
      <w:start w:val="2"/>
      <w:numFmt w:val="decimal"/>
      <w:lvlText w:val="%1.%2.%3."/>
      <w:lvlJc w:val="left"/>
      <w:pPr>
        <w:ind w:left="720" w:hanging="720"/>
      </w:pPr>
      <w:rPr>
        <w:rFonts w:eastAsia="SimSun" w:cs="Times New Roman" w:hint="default"/>
      </w:rPr>
    </w:lvl>
    <w:lvl w:ilvl="3">
      <w:start w:val="1"/>
      <w:numFmt w:val="decimal"/>
      <w:lvlText w:val="%1.%2.%3.%4."/>
      <w:lvlJc w:val="left"/>
      <w:pPr>
        <w:ind w:left="720" w:hanging="720"/>
      </w:pPr>
      <w:rPr>
        <w:rFonts w:eastAsia="SimSun" w:cs="Times New Roman" w:hint="default"/>
      </w:rPr>
    </w:lvl>
    <w:lvl w:ilvl="4">
      <w:start w:val="1"/>
      <w:numFmt w:val="decimal"/>
      <w:lvlText w:val="%1.%2.%3.%4.%5."/>
      <w:lvlJc w:val="left"/>
      <w:pPr>
        <w:ind w:left="1080" w:hanging="1080"/>
      </w:pPr>
      <w:rPr>
        <w:rFonts w:eastAsia="SimSun" w:cs="Times New Roman" w:hint="default"/>
      </w:rPr>
    </w:lvl>
    <w:lvl w:ilvl="5">
      <w:start w:val="1"/>
      <w:numFmt w:val="decimal"/>
      <w:lvlText w:val="%1.%2.%3.%4.%5.%6."/>
      <w:lvlJc w:val="left"/>
      <w:pPr>
        <w:ind w:left="1080" w:hanging="1080"/>
      </w:pPr>
      <w:rPr>
        <w:rFonts w:eastAsia="SimSun" w:cs="Times New Roman" w:hint="default"/>
      </w:rPr>
    </w:lvl>
    <w:lvl w:ilvl="6">
      <w:start w:val="1"/>
      <w:numFmt w:val="decimal"/>
      <w:lvlText w:val="%1.%2.%3.%4.%5.%6.%7."/>
      <w:lvlJc w:val="left"/>
      <w:pPr>
        <w:ind w:left="1440" w:hanging="1440"/>
      </w:pPr>
      <w:rPr>
        <w:rFonts w:eastAsia="SimSun" w:cs="Times New Roman" w:hint="default"/>
      </w:rPr>
    </w:lvl>
    <w:lvl w:ilvl="7">
      <w:start w:val="1"/>
      <w:numFmt w:val="decimal"/>
      <w:lvlText w:val="%1.%2.%3.%4.%5.%6.%7.%8."/>
      <w:lvlJc w:val="left"/>
      <w:pPr>
        <w:ind w:left="1440" w:hanging="1440"/>
      </w:pPr>
      <w:rPr>
        <w:rFonts w:eastAsia="SimSun" w:cs="Times New Roman" w:hint="default"/>
      </w:rPr>
    </w:lvl>
    <w:lvl w:ilvl="8">
      <w:start w:val="1"/>
      <w:numFmt w:val="decimal"/>
      <w:lvlText w:val="%1.%2.%3.%4.%5.%6.%7.%8.%9."/>
      <w:lvlJc w:val="left"/>
      <w:pPr>
        <w:ind w:left="1800" w:hanging="1800"/>
      </w:pPr>
      <w:rPr>
        <w:rFonts w:eastAsia="SimSun" w:cs="Times New Roman" w:hint="default"/>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B86"/>
    <w:rsid w:val="00003247"/>
    <w:rsid w:val="0004363F"/>
    <w:rsid w:val="000A3C1E"/>
    <w:rsid w:val="000B2479"/>
    <w:rsid w:val="000B2A21"/>
    <w:rsid w:val="000C314D"/>
    <w:rsid w:val="000F016A"/>
    <w:rsid w:val="000F1814"/>
    <w:rsid w:val="000F680C"/>
    <w:rsid w:val="00166B05"/>
    <w:rsid w:val="001A03A6"/>
    <w:rsid w:val="001B2CD0"/>
    <w:rsid w:val="00213B11"/>
    <w:rsid w:val="00233875"/>
    <w:rsid w:val="0023608D"/>
    <w:rsid w:val="002675F2"/>
    <w:rsid w:val="002679F1"/>
    <w:rsid w:val="00314962"/>
    <w:rsid w:val="003739CF"/>
    <w:rsid w:val="003A5188"/>
    <w:rsid w:val="003E3D1F"/>
    <w:rsid w:val="004323B0"/>
    <w:rsid w:val="004648EB"/>
    <w:rsid w:val="00474E61"/>
    <w:rsid w:val="004B2C9E"/>
    <w:rsid w:val="004B596D"/>
    <w:rsid w:val="004B6C64"/>
    <w:rsid w:val="004E171D"/>
    <w:rsid w:val="00554461"/>
    <w:rsid w:val="00570D4C"/>
    <w:rsid w:val="005C1C0B"/>
    <w:rsid w:val="005C35E7"/>
    <w:rsid w:val="005D5431"/>
    <w:rsid w:val="00607643"/>
    <w:rsid w:val="00611FD3"/>
    <w:rsid w:val="006268AF"/>
    <w:rsid w:val="006310EF"/>
    <w:rsid w:val="006341C3"/>
    <w:rsid w:val="00662BF8"/>
    <w:rsid w:val="006B30D5"/>
    <w:rsid w:val="006D08F6"/>
    <w:rsid w:val="006E5C2F"/>
    <w:rsid w:val="006F20FD"/>
    <w:rsid w:val="00707EF8"/>
    <w:rsid w:val="007542F6"/>
    <w:rsid w:val="007F2594"/>
    <w:rsid w:val="007F7B86"/>
    <w:rsid w:val="00810173"/>
    <w:rsid w:val="00835667"/>
    <w:rsid w:val="00843C67"/>
    <w:rsid w:val="00870F08"/>
    <w:rsid w:val="008753E6"/>
    <w:rsid w:val="00890212"/>
    <w:rsid w:val="0089319E"/>
    <w:rsid w:val="008B2D2B"/>
    <w:rsid w:val="008B7F6C"/>
    <w:rsid w:val="008C08A6"/>
    <w:rsid w:val="008C4F5C"/>
    <w:rsid w:val="009130C5"/>
    <w:rsid w:val="0095045C"/>
    <w:rsid w:val="009A5CC9"/>
    <w:rsid w:val="009D60DF"/>
    <w:rsid w:val="00A07F44"/>
    <w:rsid w:val="00A30C76"/>
    <w:rsid w:val="00A43756"/>
    <w:rsid w:val="00A64AAF"/>
    <w:rsid w:val="00AF20C3"/>
    <w:rsid w:val="00B14A69"/>
    <w:rsid w:val="00C05A02"/>
    <w:rsid w:val="00C63D0C"/>
    <w:rsid w:val="00D42083"/>
    <w:rsid w:val="00DB59A9"/>
    <w:rsid w:val="00DB6517"/>
    <w:rsid w:val="00DC2747"/>
    <w:rsid w:val="00E038D1"/>
    <w:rsid w:val="00E30465"/>
    <w:rsid w:val="00E44469"/>
    <w:rsid w:val="00EC35C0"/>
    <w:rsid w:val="00F145A9"/>
    <w:rsid w:val="00F2225A"/>
    <w:rsid w:val="00F47F19"/>
    <w:rsid w:val="00FB0B34"/>
    <w:rsid w:val="00FB1C32"/>
    <w:rsid w:val="00FD74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189A881-DF23-4CD9-B65D-C8AC6C93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B86"/>
    <w:pPr>
      <w:spacing w:after="200" w:line="288" w:lineRule="auto"/>
    </w:pPr>
    <w:rPr>
      <w:rFonts w:ascii="Times New Roman" w:eastAsiaTheme="minorEastAsia" w:hAnsi="Times New Roman"/>
      <w:sz w:val="24"/>
      <w:szCs w:val="21"/>
    </w:rPr>
  </w:style>
  <w:style w:type="paragraph" w:styleId="Titre1">
    <w:name w:val="heading 1"/>
    <w:basedOn w:val="Normal"/>
    <w:next w:val="Normal"/>
    <w:link w:val="Titre1Car"/>
    <w:uiPriority w:val="9"/>
    <w:qFormat/>
    <w:rsid w:val="007F7B86"/>
    <w:pPr>
      <w:keepNext/>
      <w:keepLines/>
      <w:spacing w:before="360" w:after="40" w:line="240" w:lineRule="auto"/>
      <w:outlineLvl w:val="0"/>
    </w:pPr>
    <w:rPr>
      <w:rFonts w:eastAsiaTheme="majorEastAsia" w:cstheme="majorBidi"/>
      <w:color w:val="2F5496" w:themeColor="accent5" w:themeShade="BF"/>
      <w:szCs w:val="40"/>
    </w:rPr>
  </w:style>
  <w:style w:type="paragraph" w:styleId="Titre2">
    <w:name w:val="heading 2"/>
    <w:basedOn w:val="Normal"/>
    <w:next w:val="Normal"/>
    <w:link w:val="Titre2Car"/>
    <w:uiPriority w:val="9"/>
    <w:semiHidden/>
    <w:unhideWhenUsed/>
    <w:qFormat/>
    <w:rsid w:val="00570D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570D4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semiHidden/>
    <w:unhideWhenUsed/>
    <w:qFormat/>
    <w:rsid w:val="00570D4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7F7B86"/>
    <w:rPr>
      <w:rFonts w:ascii="Times New Roman" w:eastAsiaTheme="majorEastAsia" w:hAnsi="Times New Roman" w:cstheme="majorBidi"/>
      <w:color w:val="2F5496" w:themeColor="accent5" w:themeShade="BF"/>
      <w:sz w:val="24"/>
      <w:szCs w:val="40"/>
    </w:rPr>
  </w:style>
  <w:style w:type="paragraph" w:styleId="Paragraphedeliste">
    <w:name w:val="List Paragraph"/>
    <w:basedOn w:val="Normal"/>
    <w:link w:val="ParagraphedelisteCar"/>
    <w:uiPriority w:val="34"/>
    <w:qFormat/>
    <w:rsid w:val="007F7B86"/>
    <w:pPr>
      <w:ind w:left="720"/>
      <w:contextualSpacing/>
    </w:pPr>
  </w:style>
  <w:style w:type="character" w:styleId="Appelnotedebasdep">
    <w:name w:val="footnote reference"/>
    <w:basedOn w:val="Policepardfaut"/>
    <w:uiPriority w:val="99"/>
    <w:rsid w:val="007F7B86"/>
    <w:rPr>
      <w:vertAlign w:val="superscript"/>
    </w:rPr>
  </w:style>
  <w:style w:type="character" w:customStyle="1" w:styleId="ParagraphedelisteCar">
    <w:name w:val="Paragraphe de liste Car"/>
    <w:basedOn w:val="Policepardfaut"/>
    <w:link w:val="Paragraphedeliste"/>
    <w:uiPriority w:val="34"/>
    <w:rsid w:val="007F7B86"/>
    <w:rPr>
      <w:rFonts w:ascii="Times New Roman" w:eastAsiaTheme="minorEastAsia" w:hAnsi="Times New Roman"/>
      <w:sz w:val="24"/>
      <w:szCs w:val="21"/>
    </w:rPr>
  </w:style>
  <w:style w:type="character" w:customStyle="1" w:styleId="Titre2Car">
    <w:name w:val="Titre 2 Car"/>
    <w:basedOn w:val="Policepardfaut"/>
    <w:link w:val="Titre2"/>
    <w:uiPriority w:val="9"/>
    <w:semiHidden/>
    <w:rsid w:val="00570D4C"/>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570D4C"/>
    <w:pPr>
      <w:outlineLvl w:val="9"/>
    </w:pPr>
  </w:style>
  <w:style w:type="paragraph" w:customStyle="1" w:styleId="Style1">
    <w:name w:val="Style1"/>
    <w:basedOn w:val="Titre1"/>
    <w:link w:val="Style1Car"/>
    <w:qFormat/>
    <w:rsid w:val="00570D4C"/>
    <w:pPr>
      <w:spacing w:before="600" w:after="280"/>
      <w:jc w:val="both"/>
    </w:pPr>
    <w:rPr>
      <w:b/>
      <w:sz w:val="28"/>
    </w:rPr>
  </w:style>
  <w:style w:type="character" w:customStyle="1" w:styleId="Style1Car">
    <w:name w:val="Style1 Car"/>
    <w:basedOn w:val="Titre1Car"/>
    <w:link w:val="Style1"/>
    <w:rsid w:val="00570D4C"/>
    <w:rPr>
      <w:rFonts w:ascii="Times New Roman" w:eastAsiaTheme="majorEastAsia" w:hAnsi="Times New Roman" w:cstheme="majorBidi"/>
      <w:b/>
      <w:color w:val="2F5496" w:themeColor="accent5" w:themeShade="BF"/>
      <w:sz w:val="28"/>
      <w:szCs w:val="40"/>
    </w:rPr>
  </w:style>
  <w:style w:type="character" w:customStyle="1" w:styleId="Titre3Car">
    <w:name w:val="Titre 3 Car"/>
    <w:basedOn w:val="Policepardfaut"/>
    <w:link w:val="Titre3"/>
    <w:uiPriority w:val="9"/>
    <w:rsid w:val="00570D4C"/>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570D4C"/>
    <w:rPr>
      <w:rFonts w:asciiTheme="majorHAnsi" w:eastAsiaTheme="majorEastAsia" w:hAnsiTheme="majorHAnsi" w:cstheme="majorBidi"/>
      <w:i/>
      <w:iCs/>
      <w:color w:val="2E74B5" w:themeColor="accent1" w:themeShade="BF"/>
      <w:sz w:val="24"/>
      <w:szCs w:val="21"/>
    </w:rPr>
  </w:style>
  <w:style w:type="character" w:styleId="Lienhypertexte">
    <w:name w:val="Hyperlink"/>
    <w:basedOn w:val="Policepardfaut"/>
    <w:uiPriority w:val="99"/>
    <w:rsid w:val="00570D4C"/>
    <w:rPr>
      <w:color w:val="0563C1"/>
      <w:u w:val="single"/>
    </w:rPr>
  </w:style>
  <w:style w:type="table" w:styleId="TableauGrille2-Accentuation3">
    <w:name w:val="Grid Table 2 Accent 3"/>
    <w:basedOn w:val="TableauNormal"/>
    <w:uiPriority w:val="47"/>
    <w:rsid w:val="00570D4C"/>
    <w:pPr>
      <w:spacing w:after="0" w:line="240" w:lineRule="auto"/>
    </w:pPr>
    <w:rPr>
      <w:rFonts w:eastAsiaTheme="minorEastAsia"/>
      <w:sz w:val="21"/>
      <w:szCs w:val="21"/>
    </w:r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6">
    <w:name w:val="Grid Table 2 Accent 6"/>
    <w:basedOn w:val="TableauNormal"/>
    <w:uiPriority w:val="47"/>
    <w:rsid w:val="00E038D1"/>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unhideWhenUsed/>
    <w:rsid w:val="008B2D2B"/>
    <w:pPr>
      <w:spacing w:before="100" w:beforeAutospacing="1" w:after="100" w:afterAutospacing="1" w:line="240" w:lineRule="auto"/>
    </w:pPr>
    <w:rPr>
      <w:rFonts w:eastAsia="Times New Roman" w:cs="Times New Roman"/>
      <w:szCs w:val="24"/>
      <w:lang w:eastAsia="fr-FR"/>
    </w:rPr>
  </w:style>
  <w:style w:type="table" w:styleId="Tableausimple2">
    <w:name w:val="Plain Table 2"/>
    <w:basedOn w:val="TableauNormal"/>
    <w:uiPriority w:val="42"/>
    <w:rsid w:val="008B2D2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ev">
    <w:name w:val="Strong"/>
    <w:basedOn w:val="Policepardfaut"/>
    <w:uiPriority w:val="22"/>
    <w:qFormat/>
    <w:rsid w:val="00890212"/>
    <w:rPr>
      <w:b/>
      <w:bCs/>
    </w:rPr>
  </w:style>
  <w:style w:type="character" w:styleId="Accentuation">
    <w:name w:val="Emphasis"/>
    <w:basedOn w:val="Policepardfaut"/>
    <w:uiPriority w:val="20"/>
    <w:qFormat/>
    <w:rsid w:val="00890212"/>
    <w:rPr>
      <w:i/>
      <w:iCs/>
    </w:rPr>
  </w:style>
  <w:style w:type="paragraph" w:styleId="Lgende">
    <w:name w:val="caption"/>
    <w:basedOn w:val="Normal"/>
    <w:next w:val="Normal"/>
    <w:uiPriority w:val="35"/>
    <w:unhideWhenUsed/>
    <w:qFormat/>
    <w:rsid w:val="001A03A6"/>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565630">
      <w:bodyDiv w:val="1"/>
      <w:marLeft w:val="0"/>
      <w:marRight w:val="0"/>
      <w:marTop w:val="0"/>
      <w:marBottom w:val="0"/>
      <w:divBdr>
        <w:top w:val="none" w:sz="0" w:space="0" w:color="auto"/>
        <w:left w:val="none" w:sz="0" w:space="0" w:color="auto"/>
        <w:bottom w:val="none" w:sz="0" w:space="0" w:color="auto"/>
        <w:right w:val="none" w:sz="0" w:space="0" w:color="auto"/>
      </w:divBdr>
    </w:div>
    <w:div w:id="661857365">
      <w:bodyDiv w:val="1"/>
      <w:marLeft w:val="0"/>
      <w:marRight w:val="0"/>
      <w:marTop w:val="0"/>
      <w:marBottom w:val="0"/>
      <w:divBdr>
        <w:top w:val="none" w:sz="0" w:space="0" w:color="auto"/>
        <w:left w:val="none" w:sz="0" w:space="0" w:color="auto"/>
        <w:bottom w:val="none" w:sz="0" w:space="0" w:color="auto"/>
        <w:right w:val="none" w:sz="0" w:space="0" w:color="auto"/>
      </w:divBdr>
    </w:div>
    <w:div w:id="864291487">
      <w:bodyDiv w:val="1"/>
      <w:marLeft w:val="0"/>
      <w:marRight w:val="0"/>
      <w:marTop w:val="0"/>
      <w:marBottom w:val="0"/>
      <w:divBdr>
        <w:top w:val="none" w:sz="0" w:space="0" w:color="auto"/>
        <w:left w:val="none" w:sz="0" w:space="0" w:color="auto"/>
        <w:bottom w:val="none" w:sz="0" w:space="0" w:color="auto"/>
        <w:right w:val="none" w:sz="0" w:space="0" w:color="auto"/>
      </w:divBdr>
    </w:div>
    <w:div w:id="1201699622">
      <w:bodyDiv w:val="1"/>
      <w:marLeft w:val="0"/>
      <w:marRight w:val="0"/>
      <w:marTop w:val="0"/>
      <w:marBottom w:val="0"/>
      <w:divBdr>
        <w:top w:val="none" w:sz="0" w:space="0" w:color="auto"/>
        <w:left w:val="none" w:sz="0" w:space="0" w:color="auto"/>
        <w:bottom w:val="none" w:sz="0" w:space="0" w:color="auto"/>
        <w:right w:val="none" w:sz="0" w:space="0" w:color="auto"/>
      </w:divBdr>
    </w:div>
    <w:div w:id="162353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ecoser.2017.11.01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marcelinmurhul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doi.org/10.1371/journal.pone.0231259" TargetMode="External"/><Relationship Id="rId5" Type="http://schemas.openxmlformats.org/officeDocument/2006/relationships/webSettings" Target="webSettings.xml"/><Relationship Id="rId10" Type="http://schemas.openxmlformats.org/officeDocument/2006/relationships/hyperlink" Target="http://www.annalesumng.org/index.php/seg/article/view/646/182326" TargetMode="External"/><Relationship Id="rId4" Type="http://schemas.openxmlformats.org/officeDocument/2006/relationships/settings" Target="settings.xml"/><Relationship Id="rId9" Type="http://schemas.openxmlformats.org/officeDocument/2006/relationships/hyperlink" Target="https://www.researchgate.net/publication/37558378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4823C1C-CDC9-4AEF-B512-FA628BDFF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1773</TotalTime>
  <Pages>8</Pages>
  <Words>5528</Words>
  <Characters>30408</Characters>
  <Application>Microsoft Office Word</Application>
  <DocSecurity>0</DocSecurity>
  <Lines>253</Lines>
  <Paragraphs>71</Paragraphs>
  <ScaleCrop>false</ScaleCrop>
  <HeadingPairs>
    <vt:vector size="4" baseType="variant">
      <vt:variant>
        <vt:lpstr>Titre</vt:lpstr>
      </vt:variant>
      <vt:variant>
        <vt:i4>1</vt:i4>
      </vt:variant>
      <vt:variant>
        <vt:lpstr>Titres</vt:lpstr>
      </vt:variant>
      <vt:variant>
        <vt:i4>9</vt:i4>
      </vt:variant>
    </vt:vector>
  </HeadingPairs>
  <TitlesOfParts>
    <vt:vector size="10" baseType="lpstr">
      <vt:lpstr/>
      <vt:lpstr>2.2. Methodology of the study</vt:lpstr>
      <vt:lpstr>2.2.1. Local Perceptions of forest ecosystem services and engagement in conserva</vt:lpstr>
      <vt:lpstr>This section focuses on local perceptions of ecosystem services provided by fore</vt:lpstr>
      <vt:lpstr>2.2.2. Determination of sample size</vt:lpstr>
      <vt:lpstr>A sample of 123 individuals was targeted for the survey in the Kalonge grouping.</vt:lpstr>
      <vt:lpstr>2.2.4. Analyzed parameters</vt:lpstr>
      <vt:lpstr>The conducted analyses examined several variables in the context of different vi</vt:lpstr>
      <vt:lpstr>2.2.8. Data analysis </vt:lpstr>
      <vt:lpstr>The survey questionnaire was entered into the Kobocollect application, and the d</vt:lpstr>
    </vt:vector>
  </TitlesOfParts>
  <Company/>
  <LinksUpToDate>false</LinksUpToDate>
  <CharactersWithSpaces>35865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Marcellin</dc:creator>
  <cp:keywords/>
  <dc:description/>
  <cp:lastModifiedBy>Marcellin</cp:lastModifiedBy>
  <cp:revision>1</cp:revision>
  <cp:lastPrinted>2024-04-02T22:55:00Z</cp:lastPrinted>
  <dcterms:created xsi:type="dcterms:W3CDTF">2024-02-12T16:21:00Z</dcterms:created>
  <dcterms:modified xsi:type="dcterms:W3CDTF">2024-08-16T03:39:00Z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66b55656a89efc05a490be334a0e39b14c7e58e050c320a35696c58e9cd4f373</vt:lpwstr>
  </property>
</Properties>
</file>