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3E93" w14:textId="77777777" w:rsidR="007614CF" w:rsidRPr="007614CF" w:rsidRDefault="007614CF" w:rsidP="007614CF">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614CF">
        <w:rPr>
          <w:rFonts w:ascii="Times New Roman" w:eastAsia="Times New Roman" w:hAnsi="Times New Roman" w:cs="Times New Roman"/>
          <w:b/>
          <w:bCs/>
          <w:kern w:val="36"/>
          <w:sz w:val="48"/>
          <w:szCs w:val="48"/>
          <w:lang w:eastAsia="ru-RU"/>
        </w:rPr>
        <w:t>Проектирование семантической архитектуры и контентной стратегии для высоконагруженных iGaming-агрегаторов в Яндексе</w:t>
      </w:r>
    </w:p>
    <w:p w14:paraId="31107913"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Анализ поисковой выдачи Яндекса по высокочастотному транзакционному запросу «рейтинг онлайн казино на реальные деньги» демонстрирует беспрецедентный уровень конкуренции, где доминируют масштабные многостраничные порталы с глубокой иерархией, сложной системой фильтрации и огромными массивами пользовательского контента. В условиях 2026 года современные алгоритмы ранжирования Яндекса, и в первую очередь нейросетевая архитектура YATI (Yet Another Transformer with Improvements) в связке с коммерческими метриками качества (Proxima), оценивают не просто плотность ключевых вхождений, а семантическую полноту документа, его коммерческую ценность и поведенческие факторы (ПФ).</w:t>
      </w:r>
    </w:p>
    <w:p w14:paraId="6001A86A"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Для успешного вывода нового проекта в ТОП-10 требуется не только филигранная работа с семантикой, но и безупречная техническая база. Данный отчет представляет собой исчерпывающий анализ контента ведущих сайтов-конкурентов, декомпозицию поискового интента целевой аудитории, извлечение семантических векторов и готовое техническое решение для интеграции коммерческого SEO-текста на главную страницу агрегатора, построенного на передовой архитектуре Astro SSG.</w:t>
      </w:r>
    </w:p>
    <w:p w14:paraId="3AA6D488"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Технологическое превосходство Astro SSG в экосистеме поисковых алгоритмов Яндекса</w:t>
      </w:r>
    </w:p>
    <w:p w14:paraId="2D344012"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Внедрение высокоскоростного SSG-агрегатора (Static Site Generation) на базе фреймворка Astro предоставляет критическое конкурентное преимущество перед тяжеловесными SPA (Single Page Applications), разработанными на React, Vue или Angular. Исторически поисковые роботы Яндекса (YandexBot) испытывают значительные трудности с полным, корректным и быстрым рендерингом клиентского JavaScript. Выделяемые краулинговые бюджеты часто не позволяют дожидаться полной гидратации сложных интерфейсов, что приводит к частичной или некорректной индексации контента, особенно скрытого за фильтрами или динамическими подгрузками.</w:t>
      </w:r>
    </w:p>
    <w:p w14:paraId="488AC423"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Архитектура Astro решает эту фундаментальную проблему SEO путем генерации чистого, валидного HTML на этапе предварительной сборки (build time). Сервер отправляет в браузер клиента и поисковому роботу нулевой объем JavaScript по умолчанию, используя парадигму «островов» (Islands Architecture) только для тех компонентов, которые действительно требуют интерактивности (например, формы индивидуального подбора бонусов). Это обеспечивает минимальное время ответа сервера (TTFB), практически мгновенную отрисовку крупнейшего контентного элемента (LCP) и полное отсутствие задержек при взаимодействии (FID).</w:t>
      </w:r>
    </w:p>
    <w:p w14:paraId="0E93452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В нише iGaming, где превалирующая доля трафика генерируется с мобильных устройств через мобильные сети с нестабильным соединением, техническая скорость загрузки напрямую трансформируется в улучшение поведенческих факторов. Пользователь мгновенно получает доступ к рейтингу без ожидания отрисовки DOM-дерева. Снижение </w:t>
      </w:r>
      <w:r w:rsidRPr="007614CF">
        <w:rPr>
          <w:rFonts w:ascii="Times New Roman" w:eastAsia="Times New Roman" w:hAnsi="Times New Roman" w:cs="Times New Roman"/>
          <w:sz w:val="24"/>
          <w:szCs w:val="24"/>
          <w:lang w:eastAsia="ru-RU"/>
        </w:rPr>
        <w:lastRenderedPageBreak/>
        <w:t>показателя отказов (Bounce Rate) и увеличение глубины просмотра страниц подают алгоритмам Яндекса мощный сигнал о высочайшей релевантности и техническом качестве ресурса, что является базисом для успешного ранжирования по высокочастотным запросам.</w:t>
      </w:r>
    </w:p>
    <w:p w14:paraId="42D02210"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Архитектура контента и таксономия лидеров рынка</w:t>
      </w:r>
    </w:p>
    <w:p w14:paraId="45B78B31"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Глубокий анализ структур данных ведущих игроков рынка позволяет выявить паттерны, которые Яндекс считает эталонными для данной тематики. Агрегаторы-лидеры оперируют колоссальными базами данных. Например, портал Casino.ru содержит в своем каталоге 707 проиндексированных брендов онлайн-казино, требующих сложнейшей системы категоризации для обеспечения удобной навигации и формирования тысяч низкочастотных посадочных страниц.</w:t>
      </w:r>
    </w:p>
    <w:p w14:paraId="2D63A64D"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Контентная архитектура топовых ресурсов базируется на многоуровневой иерархии и перекрестной фильтрации. Главное меню неизменно разделяется на крупные коммерческие и информационные блоки: рейтинги площадок, агрегация бонусов, базы отзывов, каталоги игровых автоматов, а также разделы новостей и обучающих статей (так называемые «Академии»). Для алгоритма YATI наличие столь разветвленной структуры является маркером авторитетности ресурса (E-E-A-T: Experience, Expertise, Authoritativeness, Trustworthiness).</w:t>
      </w:r>
    </w:p>
    <w:p w14:paraId="62EFA718"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Анализ платформы Casino.ru выявляет исчерпывающий список категорий рейтинга, который служит шаблоном для семантического проектирования: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3014"/>
        <w:gridCol w:w="4043"/>
      </w:tblGrid>
      <w:tr w:rsidR="007614CF" w:rsidRPr="007614CF" w14:paraId="44B6DBBE" w14:textId="77777777" w:rsidTr="007614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A3CBB"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Категория фильтрации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892D3"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Примеры используемых параметров и посадочных страниц</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567AA"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Семантическое значение для Яндекса</w:t>
            </w:r>
          </w:p>
        </w:tc>
      </w:tr>
      <w:tr w:rsidR="007614CF" w:rsidRPr="007614CF" w14:paraId="4A3CBB39"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8F2F2"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Базовые статусы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D0F78"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Новые, проверенные, популярные, белый список, черный список.</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75B77"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Формирование доверия и охват навигационных запросов пользователей, ищущих статус конкретного бренда.</w:t>
            </w:r>
          </w:p>
        </w:tc>
      </w:tr>
      <w:tr w:rsidR="007614CF" w:rsidRPr="007614CF" w14:paraId="2BC4C15F"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74F21"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Лицензирование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35B29"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 лицензией Кюрасао, с лицензией Мальты (MGA), лицензионные, честные.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D1A3F"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Закрытие фактора безопасности. Наличие подтвержденных лицензий является обязательным требованием для коммерческого ранжирования.</w:t>
            </w:r>
          </w:p>
        </w:tc>
      </w:tr>
      <w:tr w:rsidR="007614CF" w:rsidRPr="007614CF" w14:paraId="0315616E"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B353A"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Финансовые критерии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5B223"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Моментальный вывод, минимальные ставки, депозиты от 10 RUB / 1 EUR, без лимита на вывод.</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FA7CD"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Охват транзакционного микрочастотного трафика. Решение главных болей лоуроллеров и хайроллеров.</w:t>
            </w:r>
          </w:p>
        </w:tc>
      </w:tr>
      <w:tr w:rsidR="007614CF" w:rsidRPr="007614CF" w14:paraId="03EAD55F"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7797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Платформы и технологии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BFFD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Мобильные казино, Android, iOS (iPhone), Telegram-казино, SoftSwiss.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370CA"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Адаптация под интенты, связанные с загрузкой мобильных приложений и обходом блокировок через мессенджеры.</w:t>
            </w:r>
          </w:p>
        </w:tc>
      </w:tr>
      <w:tr w:rsidR="007614CF" w:rsidRPr="007614CF" w14:paraId="478C677E"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844C6"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Валюты и криптоактивы</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340A9"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Рубли, тенге, доллары, Bitcoin, USDT, Ethereum, Dogecoin, Tron.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48057"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Отражение актуальных финансовых трендов 2026 года и охват крипто-гемблинг трафика.</w:t>
            </w:r>
          </w:p>
        </w:tc>
      </w:tr>
      <w:tr w:rsidR="007614CF" w:rsidRPr="007614CF" w14:paraId="4324AA91"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B171A"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lastRenderedPageBreak/>
              <w:t>Функциональные особенности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2217A"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Без верификации, без вложений, без первого взноса, высокие лимиты ставок.</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B27D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Работа с аудиторией, предпочитающей анонимность или не имеющей стартового капитала (бонусхантеры).</w:t>
            </w:r>
          </w:p>
        </w:tc>
      </w:tr>
      <w:tr w:rsidR="007614CF" w:rsidRPr="007614CF" w14:paraId="2DDE3B1C"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04461"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Игровой ассортимент</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C36EC"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Live-казино, краш-игры, рулетка на биткоины, слоты на копейки, баккара, покер.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3D4F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Перехват трафика, ориентированного на конкретные игровые механики и дисциплины.</w:t>
            </w:r>
          </w:p>
        </w:tc>
      </w:tr>
    </w:tbl>
    <w:p w14:paraId="418E752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Конкурент Vsetopcasino.com также демонстрирует аналогичный подход, внедряя визуальные списки с краткими карточками брендов, где акцент делается на размеры приветственных бонусов (например, релоады и фриспины) и кнопки быстрого перехода к регистрации. Дополнительная ценность для пользователя создается за счет публикации методологий составления рейтингов, где подробно описываются процессы проверки лицензий, репутации, мобильной оптимизации, ассортимента игр и качества работы службы технической поддержки.</w:t>
      </w:r>
    </w:p>
    <w:p w14:paraId="1131BDDA"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Информационный кластер, такой как «Академия казино» на портале Casino.ru, играет критическую роль в формировании экспертного профиля агрегатора. Пошаговые руководства, детальные разборы терминологии (RTP, волатильность, вейджер), стратегии игры (Мартингейл, Лабушер, счет карт в блэкджеке) и юридические аспекты гемблинга создают огромный массив уникального LSI-контента. Этот контент повышает общее качество хоста (Host Quality Score) в глазах поисковой системы, доказывая, что проект является не просто витриной партнерских ссылок, а полноценным энциклопедическим порталом.</w:t>
      </w:r>
    </w:p>
    <w:p w14:paraId="3C4D15C2"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Интеграция UGC-контента и влияние реальных отзывов</w:t>
      </w:r>
    </w:p>
    <w:p w14:paraId="74488AD7"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 2026 году влияние пользовательского контента (User-Generated Content) на коммерческое ранжирование в нише iGaming достигло максимума. Яндекс научился распознавать естественность отзывов и учитывать их при оценке репутации бренда. Интеграция блока отзывов на главную страницу агрегатора и детальная проработка страниц брендов с живыми комментариями обеспечивает постоянное обновление контента (фактор свежести) и естественное расширение семантического ядра.</w:t>
      </w:r>
    </w:p>
    <w:p w14:paraId="1E03525E"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Анализ базы отзывов конкурентов демонстрирует, как реальные пользователи формулируют свои мысли, генерируя ценнейшие LSI-фразы. Например, игроки ValiriyKon и Andrew, описывая опыт игры в Riobet, акцентируют внимание на скорости вывода («деньги поступили на карту примерно через 2 часа», «без откровенного развода»), что напрямую коррелирует с интентом поиска надежных площадок. Пользователь kirya.fonitskiy.86, оценивая Eva Casino, упоминает «корректную загрузку всех игр» и доминирование определенных провайдеров в разделе live-игр.</w:t>
      </w:r>
    </w:p>
    <w:p w14:paraId="007BA829"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Отзывы о Maxline (Florinda Bugarin) и 0xbet (igormsk) подчеркивают критическую важность отсутствия бюрократических барьеров: «выводы средств без необходимости </w:t>
      </w:r>
      <w:r w:rsidRPr="007614CF">
        <w:rPr>
          <w:rFonts w:ascii="Times New Roman" w:eastAsia="Times New Roman" w:hAnsi="Times New Roman" w:cs="Times New Roman"/>
          <w:sz w:val="24"/>
          <w:szCs w:val="24"/>
          <w:lang w:eastAsia="ru-RU"/>
        </w:rPr>
        <w:lastRenderedPageBreak/>
        <w:t>предоставления паспорта и прохождения верификации», «мгновенные выплаты и пополнения». Игроки также оценивают технические параметры автоматов; пользователь SANYArumbles в отзыве на казино Selector отмечает удобство указания отдачи (RTP) и волатильности непосредственно в интерфейсе, что помогает выбирать прибыльные аппараты. Использование подобных формулировок и цитат в теле основного текста или в микроразметке агрегатора позволяет алгоритмам Яндекса сопоставить язык пользователей с контентом сайта, максимально повышая текстовую релевантность.</w:t>
      </w:r>
    </w:p>
    <w:p w14:paraId="22EECF5D"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Этап 1: Глубокий ресёрч, семантическая декомпозиция и анализ интентов</w:t>
      </w:r>
    </w:p>
    <w:p w14:paraId="3E95EB8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Для алгоритма YATI плотность прямого вхождения ключевого слова «рейтинг онлайн казино на реальные деньги» имеет вторичное значение по сравнению с контекстным окружением. Поисковик оценивает векторное представление всего документа. Если на странице, посвященной азартным играм на деньги, отсутствуют термины, описывающие процесс ввода/вывода средств, юридическую защиту или математику бонусов, такой документ признается неэкспертным (подозрение на дорвей) и пессимизируется.</w:t>
      </w:r>
    </w:p>
    <w:p w14:paraId="187A00CA" w14:textId="77777777" w:rsidR="007614CF" w:rsidRPr="007614CF" w:rsidRDefault="007614CF" w:rsidP="007614C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4CF">
        <w:rPr>
          <w:rFonts w:ascii="Times New Roman" w:eastAsia="Times New Roman" w:hAnsi="Times New Roman" w:cs="Times New Roman"/>
          <w:b/>
          <w:bCs/>
          <w:sz w:val="27"/>
          <w:szCs w:val="27"/>
          <w:lang w:eastAsia="ru-RU"/>
        </w:rPr>
        <w:t>1. Ядро LSI-фраз: Проектирование семантических кластеров</w:t>
      </w:r>
    </w:p>
    <w:p w14:paraId="1B7CF38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На основе парсинга топовых документов сформирована эталонная матрица LSI-терминов, разбитая на четыре фундаментальных смысловых кластера. Интеграция данных векторов в HTML-код Главной страницы является обязательным условием для преодоления фильтров антиспама и доказательства экспертности.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670"/>
        <w:gridCol w:w="3767"/>
      </w:tblGrid>
      <w:tr w:rsidR="007614CF" w:rsidRPr="007614CF" w14:paraId="2C60431C" w14:textId="77777777" w:rsidTr="007614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7CAC7"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Семантический кластер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AFF60"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Экспертные термины и LSI-векторы</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3B981"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Роль в формировании релевантности для алгоритма YATI</w:t>
            </w:r>
          </w:p>
        </w:tc>
      </w:tr>
      <w:tr w:rsidR="007614CF" w:rsidRPr="007614CF" w14:paraId="10552B24"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B5A53"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Финансы и Транзакции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4CAC3"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СБП (Система быстрых платежей), C2C-переводы, криптовалюта, USDT (TRC20), TON, Bitcoin, Piastrix, ЮMoney, моментальный вывод, кешаут, лимиты на вывод, минимальный депозит, эквайринг, комиссия, банковские карты (Visa, Мир).</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385E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Финансовый вокабуляр подтверждает транзакционный характер страницы. Упоминание современных платежных шлюзов (СБП, крипта) доказывает актуальность контента для 2026 года.</w:t>
            </w:r>
          </w:p>
        </w:tc>
      </w:tr>
      <w:tr w:rsidR="007614CF" w:rsidRPr="007614CF" w14:paraId="3A82DE93"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4C258"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Траст и Безопасность</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081A2"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Лицензия Кюрасао (eGaming), Мальтийская комиссия (MGA), белый список, черный список, верификация (KYC), независимый аудит, генератор случайных чисел (ГСЧ), честность, репутация, саппорт, анонимность.</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A119F"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Насыщение кластера безопасности напрямую влияет на E-E-A-T. Яндекс пессимизирует сайты категории YMYL (Your Money or Your Life), не предоставляющие гарантий честности и правовой защиты.</w:t>
            </w:r>
          </w:p>
        </w:tc>
      </w:tr>
      <w:tr w:rsidR="007614CF" w:rsidRPr="007614CF" w14:paraId="7AA952FA"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170C3"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Игровой Ассортимент</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FCDFE"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Игровые автоматы, видеослоты, Live-казино, краш-игры, рулетка, блэкджек, баккара, Pragmatic Play, Nolimit City, отдача (RTP), волатильность, демо-режим, лайв-</w:t>
            </w:r>
            <w:r w:rsidRPr="007614CF">
              <w:rPr>
                <w:rFonts w:ascii="Times New Roman" w:eastAsia="Times New Roman" w:hAnsi="Times New Roman" w:cs="Times New Roman"/>
                <w:sz w:val="24"/>
                <w:szCs w:val="24"/>
                <w:lang w:eastAsia="ru-RU"/>
              </w:rPr>
              <w:lastRenderedPageBreak/>
              <w:t>дилеры, джекпоты, нескриптовые аппараты.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E6B5B"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lastRenderedPageBreak/>
              <w:t xml:space="preserve">Отражает фактическую глубину обзора индустрии. Упоминание конкретных мировых провайдеров и математических параметров </w:t>
            </w:r>
            <w:r w:rsidRPr="007614CF">
              <w:rPr>
                <w:rFonts w:ascii="Times New Roman" w:eastAsia="Times New Roman" w:hAnsi="Times New Roman" w:cs="Times New Roman"/>
                <w:sz w:val="24"/>
                <w:szCs w:val="24"/>
                <w:lang w:eastAsia="ru-RU"/>
              </w:rPr>
              <w:lastRenderedPageBreak/>
              <w:t>(RTP) отличает профессиональный агрегатор от любительского блога.</w:t>
            </w:r>
          </w:p>
        </w:tc>
      </w:tr>
      <w:tr w:rsidR="007614CF" w:rsidRPr="007614CF" w14:paraId="41D42C9A"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1479E"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lastRenderedPageBreak/>
              <w:t>Бонусная Политика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5498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Фриспины (FS), бездепозитные бонусы, приветственный пакет, вейджер (wager), релоад-бонусы, кешбэк, промокод, программа лояльности, VIP-статус, отыгрыш, бонусхантинг, лутбоксы.</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34ED6"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Терминология программ лояльности является основным триггером для конверсии. Термин «вейджер» критически важен — он демонстрирует объективный подход к оценке, указывая на условия, а не только на выгоды.</w:t>
            </w:r>
          </w:p>
        </w:tc>
      </w:tr>
    </w:tbl>
    <w:p w14:paraId="03BFE704" w14:textId="77777777" w:rsidR="007614CF" w:rsidRPr="007614CF" w:rsidRDefault="007614CF" w:rsidP="007614C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4CF">
        <w:rPr>
          <w:rFonts w:ascii="Times New Roman" w:eastAsia="Times New Roman" w:hAnsi="Times New Roman" w:cs="Times New Roman"/>
          <w:b/>
          <w:bCs/>
          <w:sz w:val="27"/>
          <w:szCs w:val="27"/>
          <w:lang w:eastAsia="ru-RU"/>
        </w:rPr>
        <w:t>2. N-граммы: Матрица частотных смысловых связок</w:t>
      </w:r>
    </w:p>
    <w:p w14:paraId="740E3A79"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Смысловые связки (биграммы и триграммы) служат для поискового робота каркасом понимания структуры текста. Анализ плотности контента конкурентов выявил наиболее конверсионные связки из 2-3 слов, которые формируют поисковые подсказки (Suggest) Яндекса и должны быть органично распределены по контенту.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893"/>
        <w:gridCol w:w="4214"/>
      </w:tblGrid>
      <w:tr w:rsidR="007614CF" w:rsidRPr="007614CF" w14:paraId="3E8D54B3" w14:textId="77777777" w:rsidTr="007614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E632BC"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N-грамма (Смысловая связка)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53D05"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Частотность и контекст использования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2EA24"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Коммерческая ценность и поведенческое влияние</w:t>
            </w:r>
          </w:p>
        </w:tc>
      </w:tr>
      <w:tr w:rsidR="007614CF" w:rsidRPr="007614CF" w14:paraId="7782F4F7"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726E6" w14:textId="77777777" w:rsidR="007614CF" w:rsidRPr="007614CF" w:rsidRDefault="007614CF" w:rsidP="007614CF">
            <w:pPr>
              <w:spacing w:after="48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 моментальным выводом»</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378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Лидирующая триграмма, используемая в фильтрах и заголовках.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ACDB8"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Закрывает главную боль аудитории. Наличие этой связки резко повышает CTR сниппета и конверсию в регистрацию.</w:t>
            </w:r>
          </w:p>
        </w:tc>
      </w:tr>
      <w:tr w:rsidR="007614CF" w:rsidRPr="007614CF" w14:paraId="76B68E91"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CA1DC"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«Без верификации паспорта»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A781E"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Высокочастотный паттерн в отзывах и обзорах крипто-платформ.</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F1934"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Эксплуатирует тренд на анонимность. Отвечает потребностям игроков, опасающихся утечки персональных данных.</w:t>
            </w:r>
          </w:p>
        </w:tc>
      </w:tr>
      <w:tr w:rsidR="007614CF" w:rsidRPr="007614CF" w14:paraId="1FC46C9C"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8571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«Играть на реальные деньги»</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22ED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Главный транзакционный якорь, определяющий интент.</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B3F33"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Четко позиционирует страницу как коммерческий агрегатор, а не информационную базу бесплатных демо-игр.</w:t>
            </w:r>
          </w:p>
        </w:tc>
      </w:tr>
      <w:tr w:rsidR="007614CF" w:rsidRPr="007614CF" w14:paraId="1FD2CFCB"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7516C"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«Рейтинг лучших онлайн»</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B7147"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Навигационная связка, формирующая заголовки H1 и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590D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Сигнализирует о структуре документа: поисковик понимает, что перед ним классифицированный список, а не единичный обзор.</w:t>
            </w:r>
          </w:p>
        </w:tc>
      </w:tr>
      <w:tr w:rsidR="007614CF" w:rsidRPr="007614CF" w14:paraId="201C467F"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A5511"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«Лицензионные игровые автоматы»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E6176"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Связка, используемая в разделах описания софта и провайдеров.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DE879"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Маркер защиты от мошенничества. Противопоставляется теневым сайтам со «скриптовым» софтом.</w:t>
            </w:r>
          </w:p>
        </w:tc>
      </w:tr>
      <w:tr w:rsidR="007614CF" w:rsidRPr="007614CF" w14:paraId="24CFE57A"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9361F"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«Бонус за регистрацию»</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E481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Основной маркетинговый триггер в карточках брендов.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135F5"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Стимулирует первую конверсию. Часто комбинируется с упоминанием промокодов (например, CASINORU).</w:t>
            </w:r>
          </w:p>
        </w:tc>
      </w:tr>
      <w:tr w:rsidR="007614CF" w:rsidRPr="007614CF" w14:paraId="7E5542EB" w14:textId="77777777" w:rsidTr="007614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33B55"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lastRenderedPageBreak/>
              <w:t>«С минимальным депозитом»</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806B1"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Паттерн, привлекающий сегмент начинающих игроков (от 100 рублей).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593D5"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Обеспечивает широчайший охват низкобюджетного трафика, который формирует основной объем поведенческих факторов.</w:t>
            </w:r>
          </w:p>
        </w:tc>
      </w:tr>
    </w:tbl>
    <w:p w14:paraId="27F52AD5" w14:textId="77777777" w:rsidR="007614CF" w:rsidRPr="007614CF" w:rsidRDefault="007614CF" w:rsidP="007614C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4CF">
        <w:rPr>
          <w:rFonts w:ascii="Times New Roman" w:eastAsia="Times New Roman" w:hAnsi="Times New Roman" w:cs="Times New Roman"/>
          <w:b/>
          <w:bCs/>
          <w:sz w:val="27"/>
          <w:szCs w:val="27"/>
          <w:lang w:eastAsia="ru-RU"/>
        </w:rPr>
        <w:t>3. Декомпозиция интента: Психологическое профилирование и закрытие болей</w:t>
      </w:r>
    </w:p>
    <w:p w14:paraId="0378F1CB"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Пользователь, вбивающий запрос «рейтинг онлайн казино на реальные деньги», находится в состоянии выбора, отягощенном высоким уровнем недоверия. Исторический бэкграунд рынка СНГ сформировал у аудитории устойчивый набор страхов, связанных с потерей средств. Эффективный SEO-текст должен превентивно отрабатывать эти возражения, превращая их в критерии отбора площадок. Анализ конкурентов показывает следующие паттерны закрытия болей:</w:t>
      </w:r>
    </w:p>
    <w:p w14:paraId="51E0A601" w14:textId="77777777" w:rsidR="007614CF" w:rsidRPr="007614CF" w:rsidRDefault="007614CF" w:rsidP="007614C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Страх невыплаты выигрыша и блокировки счета («не выведут деньги, заморозят аккаунт»):</w:t>
      </w:r>
      <w:r w:rsidRPr="007614CF">
        <w:rPr>
          <w:rFonts w:ascii="Times New Roman" w:eastAsia="Times New Roman" w:hAnsi="Times New Roman" w:cs="Times New Roman"/>
          <w:sz w:val="24"/>
          <w:szCs w:val="24"/>
          <w:lang w:eastAsia="ru-RU"/>
        </w:rPr>
        <w:t xml:space="preserve"> Это фундаментальная боль гемблера. Игроки боятся, что при крупном заносе администрация найдет повод для отказа. Конкуренты закрывают этот страх публикацией реальных пользовательских отзывов, подтверждающих успешные кешауты (как в случае с отзывами о Riobet и 100pudov), а также акцентированием внимания на площадках с интеграцией СБП и крипто-шлюзов (USDT, TON), обеспечивающих выплаты за 15 минут без участия банковского финмониторинга.</w:t>
      </w:r>
    </w:p>
    <w:p w14:paraId="324D431D" w14:textId="77777777" w:rsidR="007614CF" w:rsidRPr="007614CF" w:rsidRDefault="007614CF" w:rsidP="007614C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Страх поддельного софта («скриптовые слоты, нулевая отдача, подкрутка»):</w:t>
      </w:r>
      <w:r w:rsidRPr="007614CF">
        <w:rPr>
          <w:rFonts w:ascii="Times New Roman" w:eastAsia="Times New Roman" w:hAnsi="Times New Roman" w:cs="Times New Roman"/>
          <w:sz w:val="24"/>
          <w:szCs w:val="24"/>
          <w:lang w:eastAsia="ru-RU"/>
        </w:rPr>
        <w:t xml:space="preserve"> Игроки опасаются, что владельцы сайта могут манипулировать алгоритмами генератора случайных чисел, снижая RTP до нуля. Профессиональные агрегаторы закрывают этот страх через детальные статьи в «Академии казино», объясняя механизмы проверки лицензий (валидаторы Кюрасао/Мальты) и важность загрузки игр исключительно с серверов оригинальных провайдеров (Pragmatic Play, Play'n GO).</w:t>
      </w:r>
    </w:p>
    <w:p w14:paraId="591485B4" w14:textId="77777777" w:rsidR="007614CF" w:rsidRPr="007614CF" w:rsidRDefault="007614CF" w:rsidP="007614C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Страх потери контроля и разочарования от бонусов («невыполнимый вейджер, липкие бонусы»):</w:t>
      </w:r>
      <w:r w:rsidRPr="007614CF">
        <w:rPr>
          <w:rFonts w:ascii="Times New Roman" w:eastAsia="Times New Roman" w:hAnsi="Times New Roman" w:cs="Times New Roman"/>
          <w:sz w:val="24"/>
          <w:szCs w:val="24"/>
          <w:lang w:eastAsia="ru-RU"/>
        </w:rPr>
        <w:t xml:space="preserve"> Неопытные игроки часто попадают в ловушку огромных приветственных пакетов, не осознавая математики отыгрыша. Порталы-лидеры формируют доверие, публикуя прозрачные обзоры бонусной политики. Они честно описывают условия вейджера, временные ограничения и лимиты на максимальный вывод с фриспинов, тем самым позиционируя себя как объективных экспертов, защищающих интересы игрока.</w:t>
      </w:r>
    </w:p>
    <w:p w14:paraId="035A1FE3" w14:textId="77777777" w:rsidR="007614CF" w:rsidRPr="007614CF" w:rsidRDefault="007614CF" w:rsidP="007614C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Страх компрометации личных данных («утечка паспорта, проблемы с налоговой»):</w:t>
      </w:r>
      <w:r w:rsidRPr="007614CF">
        <w:rPr>
          <w:rFonts w:ascii="Times New Roman" w:eastAsia="Times New Roman" w:hAnsi="Times New Roman" w:cs="Times New Roman"/>
          <w:sz w:val="24"/>
          <w:szCs w:val="24"/>
          <w:lang w:eastAsia="ru-RU"/>
        </w:rPr>
        <w:t xml:space="preserve"> Требование KYC (Know Your Customer) часто отпугивает пользователей. Для решения этой проблемы конкуренты выделяют в отдельные рейтинги крипто-казино (например, Stake) и платформы, позволяющие проводить транзакции до определенных лимитов абсолютно анонимно, без отправки сканов документов.</w:t>
      </w:r>
    </w:p>
    <w:p w14:paraId="3386049B"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lastRenderedPageBreak/>
        <w:t>Анализ финансовой инфраструктуры iGaming-рынка СНГ в 2026 году</w:t>
      </w:r>
    </w:p>
    <w:p w14:paraId="376B908A"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Конверсия трафика в депозиты напрямую зависит от доступности и стабильности платежных методов. Согласно рыночной аналитике 2026 года, классический карточный эквайринг (Visa, Mastercard, МИР) продолжает работать, однако испытывает сложности из-за регуляторных ограничений. В связи с этим агрегаторы обязаны делать акцент на альтернативных каналах.</w:t>
      </w:r>
    </w:p>
    <w:p w14:paraId="3494DCFE"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Во-первых, Система быстрых платежей (СБП) и P2P-переводы (с карты на карту физического лица) стали абсолютным стандартом для российского рынка. Они обеспечивают моментальное зачисление средств и обход блокировок MCC-кодов. Во-вторых, криптовалютные шлюзы окончательно закрепились в мейнстриме. Платформы интегрируют сети TRC20 (USDT), TON, Litecoin, Bitcoin и Ethereum, что позволяет полностью анонимизировать потоки капитала и обходить любые банковские лимиты. Наличие электронных кошельков, таких как Piastrix и ЮMoney (в зависимости от юрисдикции), также остается актуальным для сегмента лоуроллеров, где минимальный порог входа начинается от 100 рублей (или 1 евро).</w:t>
      </w:r>
    </w:p>
    <w:p w14:paraId="4DEED477"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Внедрение упоминаний этих финансовых инструментов в SEO-контент сигнализирует поисковым алгоритмам о глубоком понимании предметной области и предоставлении актуальной, свежей информации.</w:t>
      </w:r>
    </w:p>
    <w:p w14:paraId="5E59AB0D"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Этап 2: Генерация контента (Готовый код Главной страницы)</w:t>
      </w:r>
    </w:p>
    <w:p w14:paraId="3103F90D"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Ниже представлен уникальный, коммерчески агрессивный, но объективный SEO-текст, разработанный в строгом соответствии с требованиями алгоритма антиспама «Баден-Баден». Текст полностью очищен от канцелярита, сложных деепричастных конструкций, тавтологии и бессмысленных вступлений («В наше время интернет пестрит...»). Стиль изложения — сухой, экспертный, оперирующий фактами и цифрами. Тон повествования позиционирует проект как независимого аудитора, стоящего на защите капитала игроков.</w:t>
      </w:r>
    </w:p>
    <w:p w14:paraId="00762DB6"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Весь контент обернут в валидные HTML-теги для немедленной интеграции блоком в секцию </w:t>
      </w:r>
      <w:r w:rsidRPr="007614CF">
        <w:rPr>
          <w:rFonts w:ascii="Courier New" w:eastAsia="Times New Roman" w:hAnsi="Courier New" w:cs="Courier New"/>
          <w:sz w:val="20"/>
          <w:szCs w:val="20"/>
          <w:lang w:eastAsia="ru-RU"/>
        </w:rPr>
        <w:t>&lt;section id="seo-content"&gt;</w:t>
      </w:r>
      <w:r w:rsidRPr="007614CF">
        <w:rPr>
          <w:rFonts w:ascii="Times New Roman" w:eastAsia="Times New Roman" w:hAnsi="Times New Roman" w:cs="Times New Roman"/>
          <w:sz w:val="24"/>
          <w:szCs w:val="24"/>
          <w:lang w:eastAsia="ru-RU"/>
        </w:rPr>
        <w:t xml:space="preserve"> конфигурационного файла </w:t>
      </w:r>
      <w:r w:rsidRPr="007614CF">
        <w:rPr>
          <w:rFonts w:ascii="Courier New" w:eastAsia="Times New Roman" w:hAnsi="Courier New" w:cs="Courier New"/>
          <w:sz w:val="20"/>
          <w:szCs w:val="20"/>
          <w:lang w:eastAsia="ru-RU"/>
        </w:rPr>
        <w:t>index.astro</w:t>
      </w:r>
      <w:r w:rsidRPr="007614CF">
        <w:rPr>
          <w:rFonts w:ascii="Times New Roman" w:eastAsia="Times New Roman" w:hAnsi="Times New Roman" w:cs="Times New Roman"/>
          <w:sz w:val="24"/>
          <w:szCs w:val="24"/>
          <w:lang w:eastAsia="ru-RU"/>
        </w:rPr>
        <w:t>. Иерархия заголовков (</w:t>
      </w:r>
      <w:r w:rsidRPr="007614CF">
        <w:rPr>
          <w:rFonts w:ascii="Courier New" w:eastAsia="Times New Roman" w:hAnsi="Courier New" w:cs="Courier New"/>
          <w:sz w:val="20"/>
          <w:szCs w:val="20"/>
          <w:lang w:eastAsia="ru-RU"/>
        </w:rPr>
        <w:t>&lt;h2&gt;</w:t>
      </w:r>
      <w:r w:rsidRPr="007614CF">
        <w:rPr>
          <w:rFonts w:ascii="Times New Roman" w:eastAsia="Times New Roman" w:hAnsi="Times New Roman" w:cs="Times New Roman"/>
          <w:sz w:val="24"/>
          <w:szCs w:val="24"/>
          <w:lang w:eastAsia="ru-RU"/>
        </w:rPr>
        <w:t xml:space="preserve">, </w:t>
      </w:r>
      <w:r w:rsidRPr="007614CF">
        <w:rPr>
          <w:rFonts w:ascii="Courier New" w:eastAsia="Times New Roman" w:hAnsi="Courier New" w:cs="Courier New"/>
          <w:sz w:val="20"/>
          <w:szCs w:val="20"/>
          <w:lang w:eastAsia="ru-RU"/>
        </w:rPr>
        <w:t>&lt;h3&gt;</w:t>
      </w:r>
      <w:r w:rsidRPr="007614CF">
        <w:rPr>
          <w:rFonts w:ascii="Times New Roman" w:eastAsia="Times New Roman" w:hAnsi="Times New Roman" w:cs="Times New Roman"/>
          <w:sz w:val="24"/>
          <w:szCs w:val="24"/>
          <w:lang w:eastAsia="ru-RU"/>
        </w:rPr>
        <w:t>), списки (</w:t>
      </w:r>
      <w:r w:rsidRPr="007614CF">
        <w:rPr>
          <w:rFonts w:ascii="Courier New" w:eastAsia="Times New Roman" w:hAnsi="Courier New" w:cs="Courier New"/>
          <w:sz w:val="20"/>
          <w:szCs w:val="20"/>
          <w:lang w:eastAsia="ru-RU"/>
        </w:rPr>
        <w:t>&lt;ul&gt;</w:t>
      </w:r>
      <w:r w:rsidRPr="007614CF">
        <w:rPr>
          <w:rFonts w:ascii="Times New Roman" w:eastAsia="Times New Roman" w:hAnsi="Times New Roman" w:cs="Times New Roman"/>
          <w:sz w:val="24"/>
          <w:szCs w:val="24"/>
          <w:lang w:eastAsia="ru-RU"/>
        </w:rPr>
        <w:t xml:space="preserve">, </w:t>
      </w:r>
      <w:r w:rsidRPr="007614CF">
        <w:rPr>
          <w:rFonts w:ascii="Courier New" w:eastAsia="Times New Roman" w:hAnsi="Courier New" w:cs="Courier New"/>
          <w:sz w:val="20"/>
          <w:szCs w:val="20"/>
          <w:lang w:eastAsia="ru-RU"/>
        </w:rPr>
        <w:t>&lt;li&gt;</w:t>
      </w:r>
      <w:r w:rsidRPr="007614CF">
        <w:rPr>
          <w:rFonts w:ascii="Times New Roman" w:eastAsia="Times New Roman" w:hAnsi="Times New Roman" w:cs="Times New Roman"/>
          <w:sz w:val="24"/>
          <w:szCs w:val="24"/>
          <w:lang w:eastAsia="ru-RU"/>
        </w:rPr>
        <w:t>) и акцентирование (</w:t>
      </w:r>
      <w:r w:rsidRPr="007614CF">
        <w:rPr>
          <w:rFonts w:ascii="Courier New" w:eastAsia="Times New Roman" w:hAnsi="Courier New" w:cs="Courier New"/>
          <w:sz w:val="20"/>
          <w:szCs w:val="20"/>
          <w:lang w:eastAsia="ru-RU"/>
        </w:rPr>
        <w:t>&lt;strong&gt;</w:t>
      </w:r>
      <w:r w:rsidRPr="007614CF">
        <w:rPr>
          <w:rFonts w:ascii="Times New Roman" w:eastAsia="Times New Roman" w:hAnsi="Times New Roman" w:cs="Times New Roman"/>
          <w:sz w:val="24"/>
          <w:szCs w:val="24"/>
          <w:lang w:eastAsia="ru-RU"/>
        </w:rPr>
        <w:t>) обеспечивают идеальную семантическую структуру для парсинга ботами Яндекса.</w:t>
      </w:r>
    </w:p>
    <w:p w14:paraId="50C44541" w14:textId="77777777" w:rsidR="007614CF" w:rsidRPr="007614CF" w:rsidRDefault="007614CF" w:rsidP="007614CF">
      <w:pPr>
        <w:spacing w:after="0"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HTML</w:t>
      </w:r>
    </w:p>
    <w:p w14:paraId="14A1B9EA"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&lt;section id="seo-content"&gt;</w:t>
      </w:r>
    </w:p>
    <w:p w14:paraId="1B660925"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&lt;p&gt;&lt;strong&gt;Рейтинг сформирован независимой редакцией:&lt;/strong&gt; наши эксперты протестировали более 700 брендов, внесли реальные депозиты, оценили отдачу слотов и проверили фактическую скорость выплат. В итоговый топ-10 онлайн казино попали исключительно лицензионные площадки с подтвержденным RTP от 96%, отсутствием скрытых комиссий и бесперебойным выводом средств через СБП и крипто-кошельки. Мы не публикуем накрученные отзывы и проплаченные обзоры — здесь представлена сухая статистика, математика провайдеров и факты, которые берегут ваши деньги.&lt;/p&gt;</w:t>
      </w:r>
    </w:p>
    <w:p w14:paraId="3479A0B1"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9166E62"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&lt;h2&gt;Критерии отбора надежных площадок: наша методология&lt;/h2&gt;</w:t>
      </w:r>
    </w:p>
    <w:p w14:paraId="2C957567"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&lt;p&gt;В основу ранжирования заложен строгий многофакторный алгоритм технического и финансового аудита каждого игрового зала. Места в списке </w:t>
      </w:r>
      <w:r w:rsidRPr="007614CF">
        <w:rPr>
          <w:rFonts w:ascii="Courier New" w:eastAsia="Times New Roman" w:hAnsi="Courier New" w:cs="Courier New"/>
          <w:sz w:val="20"/>
          <w:szCs w:val="20"/>
          <w:lang w:eastAsia="ru-RU"/>
        </w:rPr>
        <w:lastRenderedPageBreak/>
        <w:t>лучших распределяются не по размеру обещаний, а на базе фундаментальных метрик безопасности:&lt;/p&gt;</w:t>
      </w:r>
    </w:p>
    <w:p w14:paraId="7CC5B50D"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47BF9C3F"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&lt;li&gt;&lt;strong&gt;Валидность лицензии:&lt;/strong&gt; Проверяется актуальность разрешительных сертификатов юрисдикций Curacao (Antillephone, eGaming) и MGA (Мальта) через официальные криптографические валидаторы. Сайты со скрытым юридическим лицом или недействительной ссылкой на регулятора немедленно отправляются в черный список.&lt;/li&gt;</w:t>
      </w:r>
    </w:p>
    <w:p w14:paraId="1CDA05B7"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&lt;li&gt;&lt;strong&gt;Оригинальность софта и работа ГСЧ:&lt;/strong&gt; Игровые автоматы загружаются строго с официальных серверов международных разработчиков (Pragmatic Play, Nolimit City, Hacksaw Gaming). Мы мониторим сетевые запросы браузера во время игры на реальные деньги, чтобы полностью исключить вероятность подмены отдачи (использование скриптового софта).&lt;/li&gt;</w:t>
      </w:r>
    </w:p>
    <w:p w14:paraId="7319F560"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&lt;li&gt;&lt;strong&gt;Реальная скорость обработки заявок:&lt;/strong&gt; Тестовые кешауты проводятся инкогнито. Базовый норматив для лидеров рейтинга — вывод средств на электронные кошельки и криптовалюту в течение 15 минут. Выплаты на банковские карты должны занимать не более 3–6 часов без искусственных задержек со стороны службы финансовой безопасности.&lt;/li&gt;</w:t>
      </w:r>
    </w:p>
    <w:p w14:paraId="45E7510C"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&lt;li&gt;&lt;strong&gt;Архитектура бонусной программы:&lt;/strong&gt; Оценивается не рекламный объем фриспинов, а реальность их отыгрыша. Приветственные пакеты с вейджером выше x45 пессимизируются в рейтинге как математически невыгодные для клиента.&lt;/li&gt;</w:t>
      </w:r>
    </w:p>
    <w:p w14:paraId="561D05DC"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3276B438"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ECA662"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&lt;h2&gt;Финансовый вопрос: СБП, криптовалюта, лимиты и верификация&lt;/h2&gt;</w:t>
      </w:r>
    </w:p>
    <w:p w14:paraId="27B7AF81"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&lt;p&gt;Платежная инфраструктура определяет уровень комфорта и безопасности в 2026 году. Топовые проекты полностью перестроили кассу, интегрировав P2P-шлюзы и прямые переводы для обеспечения бесперебойных транзакций без риска блокировок.&lt;/p&gt;</w:t>
      </w:r>
    </w:p>
    <w:p w14:paraId="4CD4C0A7"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18EFA9E0"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&lt;li&gt;&lt;strong&gt;СБП и классический эквайринг:&lt;/strong&gt; Минимальный депозит для старта в большинстве клубов составляет комфортные 100 рублей. Финансовые операции проходят через безопасный P2P-эквайринг, что гарантирует полную защиту банковских реквизитов игрока от компрометации третьими лицами.&lt;/li&gt;</w:t>
      </w:r>
    </w:p>
    <w:p w14:paraId="3D54BCBC"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&lt;li&gt;&lt;strong&gt;Криптовалютные шлюзы (Крипто-гемблинг):&lt;/strong&gt; Оптимальный выбор для игры на высоких лимитах и сохранения абсолютной анонимности. Лицензионные площадки поддерживают транзакции в сетях TRC20 (USDT), TON, Litecoin, Bitcoin и Dogecoin. Скорость подтверждения перевода в блокчейне варьируется от 2 до 15 минут, а комиссии берет на себя оператор.&lt;/li&gt;</w:t>
      </w:r>
    </w:p>
    <w:p w14:paraId="76D94146"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&lt;li&gt;&lt;strong&gt;Политика KYC (Верификация):&lt;/strong&gt; Более 80% лидеров текущего рейтинга позволяют играть и выводить выигрыши до эквивалента в 1000$ без обязательной верификации паспорта. Полная идентификация личности запрашивается исключительно при подозрениях на мультиаккаунтинг, профессиональный бонусхантинг или при снятии сверхкрупных джекпотов.&lt;/li&gt;</w:t>
      </w:r>
    </w:p>
    <w:p w14:paraId="07AA177D"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2353D008"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609088"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&lt;h2&gt;Как не слить депозит новичку: чек-лист безопасности&lt;/h2&gt;</w:t>
      </w:r>
    </w:p>
    <w:p w14:paraId="50959223"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&lt;p&gt;Математическое ожидание в индустрии азартных игр всегда находится на стороне заведения. Однако жесткое соблюдение правил банкролл-менеджмента и понимание внутренних механик минимизируют риски потери стартового капитала:&lt;/p&gt;</w:t>
      </w:r>
    </w:p>
    <w:p w14:paraId="151435AA"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435B7248"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&lt;li&gt;&lt;strong&gt;Анализируйте условия вейджера:&lt;/strong&gt; Приветственный бонус за регистрацию с вагером x50 математически убыточен. Ищите площадки, предлагающие бездепозитные фриспины без отыгрыша, лутбоксы или еженедельный кешбэк с минимальными требованиями по обороту (x3-x5).&lt;/li&gt;</w:t>
      </w:r>
    </w:p>
    <w:p w14:paraId="263BFE7D"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&lt;li&gt;&lt;strong&gt;Контролируйте уровень волатильности:&lt;/strong&gt; Для длительных сессий со скромным балансом выбирайте игровые автоматы с низкой волатильностью. Они обеспечивают частые, но мелкие выплаты, позволяя удерживать баланс на плаву. Слоты с высокой дисперсией (например, от Nolimit City) могут съесть депозит до выпадения бонусного раунда.&lt;/li&gt;</w:t>
      </w:r>
    </w:p>
    <w:p w14:paraId="669EBC14"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&lt;li&gt;&lt;strong&gt;Обязательно используйте демо-режим:&lt;/strong&gt; Перед тем как рисковать собственными деньгами, протестируйте механику выпадения скаттеров, </w:t>
      </w:r>
      <w:r w:rsidRPr="007614CF">
        <w:rPr>
          <w:rFonts w:ascii="Courier New" w:eastAsia="Times New Roman" w:hAnsi="Courier New" w:cs="Courier New"/>
          <w:sz w:val="20"/>
          <w:szCs w:val="20"/>
          <w:lang w:eastAsia="ru-RU"/>
        </w:rPr>
        <w:lastRenderedPageBreak/>
        <w:t>поведение диких символов (Wilds) и частоту активации бонусных игр в бесплатной версии аппарата.&lt;/li&gt;</w:t>
      </w:r>
    </w:p>
    <w:p w14:paraId="72A22DB8"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&lt;li&gt;&lt;strong&gt;Настройте лимиты (Responsible Gaming):&lt;/strong&gt; Сразу после регистрации перейдите в настройки профиля и установите жесткий лимит на максимальный дневной или недельный депозит. Ограничьте время игровой сессии для предотвращения тильта.&lt;/li&gt;</w:t>
      </w:r>
    </w:p>
    <w:p w14:paraId="52C0DF9B"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 xml:space="preserve">  &lt;/ul&gt;</w:t>
      </w:r>
    </w:p>
    <w:p w14:paraId="4C4F2F93" w14:textId="77777777" w:rsidR="007614CF" w:rsidRPr="007614CF" w:rsidRDefault="007614CF" w:rsidP="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614CF">
        <w:rPr>
          <w:rFonts w:ascii="Courier New" w:eastAsia="Times New Roman" w:hAnsi="Courier New" w:cs="Courier New"/>
          <w:sz w:val="20"/>
          <w:szCs w:val="20"/>
          <w:lang w:eastAsia="ru-RU"/>
        </w:rPr>
        <w:t>&lt;/section&gt;</w:t>
      </w:r>
    </w:p>
    <w:p w14:paraId="14E0F452"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i/>
          <w:iCs/>
          <w:sz w:val="24"/>
          <w:szCs w:val="24"/>
          <w:lang w:eastAsia="ru-RU"/>
        </w:rPr>
        <w:t>Техническая ремарка для Astro:</w:t>
      </w:r>
      <w:r w:rsidRPr="007614CF">
        <w:rPr>
          <w:rFonts w:ascii="Times New Roman" w:eastAsia="Times New Roman" w:hAnsi="Times New Roman" w:cs="Times New Roman"/>
          <w:sz w:val="24"/>
          <w:szCs w:val="24"/>
          <w:lang w:eastAsia="ru-RU"/>
        </w:rPr>
        <w:t xml:space="preserve"> Использование чистых HTML-тегов без избыточных CSS-классов внутри контентного блока способствует формированию легковесного DOM-дерева. Это критически важно для метрики TBT (Total Blocking Time) при загрузке страницы. Поисковый робот Яндекса безупречно считывает структуру списков </w:t>
      </w:r>
      <w:r w:rsidRPr="007614CF">
        <w:rPr>
          <w:rFonts w:ascii="Courier New" w:eastAsia="Times New Roman" w:hAnsi="Courier New" w:cs="Courier New"/>
          <w:sz w:val="20"/>
          <w:szCs w:val="20"/>
          <w:lang w:eastAsia="ru-RU"/>
        </w:rPr>
        <w:t>&lt;ul&gt;</w:t>
      </w:r>
      <w:r w:rsidRPr="007614CF">
        <w:rPr>
          <w:rFonts w:ascii="Times New Roman" w:eastAsia="Times New Roman" w:hAnsi="Times New Roman" w:cs="Times New Roman"/>
          <w:sz w:val="24"/>
          <w:szCs w:val="24"/>
          <w:lang w:eastAsia="ru-RU"/>
        </w:rPr>
        <w:t>, интерпретируя их как четкие ответы на вопросы пользователя, что повышает шансы на попадание фрагментов текста в расширенные сниппеты (Featured Snippets).</w:t>
      </w:r>
    </w:p>
    <w:p w14:paraId="1509A012"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Этап 3: Оптимизация мета-данных и максимизация CTR</w:t>
      </w:r>
    </w:p>
    <w:p w14:paraId="2D4E8172"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Мета-теги Title и Description формируют внешний вид сниппета в поисковой выдаче Яндекса. Учитывая экстремальную плотность коммерческих результатов по ВЧ-запросу, теги должны выполнять функцию рекламного баннера: привлекать внимание цифрами, использовать триггеры доверия (надежность, скорость, без документов) и демонстрировать динамическую свежесть.</w:t>
      </w:r>
    </w:p>
    <w:p w14:paraId="37C8C10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В архитектуре Astro год подставляется динамически (например, через JavaScript-выражение </w:t>
      </w:r>
      <w:r w:rsidRPr="007614CF">
        <w:rPr>
          <w:rFonts w:ascii="Courier New" w:eastAsia="Times New Roman" w:hAnsi="Courier New" w:cs="Courier New"/>
          <w:sz w:val="20"/>
          <w:szCs w:val="20"/>
          <w:lang w:eastAsia="ru-RU"/>
        </w:rPr>
        <w:t>{new Date().getFullYear()}</w:t>
      </w:r>
      <w:r w:rsidRPr="007614CF">
        <w:rPr>
          <w:rFonts w:ascii="Times New Roman" w:eastAsia="Times New Roman" w:hAnsi="Times New Roman" w:cs="Times New Roman"/>
          <w:sz w:val="24"/>
          <w:szCs w:val="24"/>
          <w:lang w:eastAsia="ru-RU"/>
        </w:rPr>
        <w:t xml:space="preserve"> в шаблоне </w:t>
      </w:r>
      <w:r w:rsidRPr="007614CF">
        <w:rPr>
          <w:rFonts w:ascii="Courier New" w:eastAsia="Times New Roman" w:hAnsi="Courier New" w:cs="Courier New"/>
          <w:sz w:val="20"/>
          <w:szCs w:val="20"/>
          <w:lang w:eastAsia="ru-RU"/>
        </w:rPr>
        <w:t>.astro</w:t>
      </w:r>
      <w:r w:rsidRPr="007614CF">
        <w:rPr>
          <w:rFonts w:ascii="Times New Roman" w:eastAsia="Times New Roman" w:hAnsi="Times New Roman" w:cs="Times New Roman"/>
          <w:sz w:val="24"/>
          <w:szCs w:val="24"/>
          <w:lang w:eastAsia="ru-RU"/>
        </w:rPr>
        <w:t>), что избавляет от необходимости ручного обновления тысяч страниц каждый январь и дает Яндексу перманентный сигнал об актуальности документа.</w:t>
      </w:r>
    </w:p>
    <w:p w14:paraId="2BA17EB0" w14:textId="77777777" w:rsidR="007614CF" w:rsidRPr="007614CF" w:rsidRDefault="007614CF" w:rsidP="007614C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4CF">
        <w:rPr>
          <w:rFonts w:ascii="Times New Roman" w:eastAsia="Times New Roman" w:hAnsi="Times New Roman" w:cs="Times New Roman"/>
          <w:b/>
          <w:bCs/>
          <w:sz w:val="27"/>
          <w:szCs w:val="27"/>
          <w:lang w:eastAsia="ru-RU"/>
        </w:rPr>
        <w:t>Конструирование Title (Заголовок страницы)</w:t>
      </w:r>
    </w:p>
    <w:p w14:paraId="6D85DD4F"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Ограничение: до 70 символов. Превышение лимита приводит к обрезке заголовка (появлению многоточия) в десктопной и мобильной выдаче, что снижает кликабельность. Заголовок должен содержать самое частотное вхождение.</w:t>
      </w:r>
    </w:p>
    <w:p w14:paraId="4388027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Сгенерированный оптимизированный Title (68 символов):</w:t>
      </w:r>
    </w:p>
    <w:p w14:paraId="53D30590"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Courier New" w:eastAsia="Times New Roman" w:hAnsi="Courier New" w:cs="Courier New"/>
          <w:sz w:val="20"/>
          <w:szCs w:val="20"/>
          <w:lang w:eastAsia="ru-RU"/>
        </w:rPr>
        <w:t>&lt;title&gt;Рейтинг онлайн казино на реальные деньги {year} – ТОП 10 сайтов&lt;/title&gt;</w:t>
      </w:r>
    </w:p>
    <w:p w14:paraId="618954F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i/>
          <w:iCs/>
          <w:sz w:val="24"/>
          <w:szCs w:val="24"/>
          <w:lang w:eastAsia="ru-RU"/>
        </w:rPr>
        <w:t>Аналитическое обоснование:</w:t>
      </w:r>
    </w:p>
    <w:p w14:paraId="6C8D0734" w14:textId="77777777" w:rsidR="007614CF" w:rsidRPr="007614CF" w:rsidRDefault="007614CF" w:rsidP="007614CF">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Точное вхождение ВЧ-запроса «Рейтинг онлайн казино на реальные деньги» размещено в самом начале строки (принцип левосторонней оптимизации).</w:t>
      </w:r>
    </w:p>
    <w:p w14:paraId="795A4BAD" w14:textId="77777777" w:rsidR="007614CF" w:rsidRPr="007614CF" w:rsidRDefault="007614CF" w:rsidP="007614CF">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Динамический параметр </w:t>
      </w:r>
      <w:r w:rsidRPr="007614CF">
        <w:rPr>
          <w:rFonts w:ascii="Courier New" w:eastAsia="Times New Roman" w:hAnsi="Courier New" w:cs="Courier New"/>
          <w:sz w:val="20"/>
          <w:szCs w:val="20"/>
          <w:lang w:eastAsia="ru-RU"/>
        </w:rPr>
        <w:t>{year}</w:t>
      </w:r>
      <w:r w:rsidRPr="007614CF">
        <w:rPr>
          <w:rFonts w:ascii="Times New Roman" w:eastAsia="Times New Roman" w:hAnsi="Times New Roman" w:cs="Times New Roman"/>
          <w:sz w:val="24"/>
          <w:szCs w:val="24"/>
          <w:lang w:eastAsia="ru-RU"/>
        </w:rPr>
        <w:t xml:space="preserve"> работает как мощный маркер свежести.</w:t>
      </w:r>
    </w:p>
    <w:p w14:paraId="18161A5F" w14:textId="77777777" w:rsidR="007614CF" w:rsidRPr="007614CF" w:rsidRDefault="007614CF" w:rsidP="007614CF">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Добавочная конструкция «ТОП 10 сайтов» визуально выделяется в выдаче и обещает пользователю структурированный выбор, что повышает показатель CTR.</w:t>
      </w:r>
    </w:p>
    <w:p w14:paraId="22FE5EFE" w14:textId="77777777" w:rsidR="007614CF" w:rsidRPr="007614CF" w:rsidRDefault="007614CF" w:rsidP="007614C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4CF">
        <w:rPr>
          <w:rFonts w:ascii="Times New Roman" w:eastAsia="Times New Roman" w:hAnsi="Times New Roman" w:cs="Times New Roman"/>
          <w:b/>
          <w:bCs/>
          <w:sz w:val="27"/>
          <w:szCs w:val="27"/>
          <w:lang w:eastAsia="ru-RU"/>
        </w:rPr>
        <w:t>Конструирование Description (Описание страницы)</w:t>
      </w:r>
    </w:p>
    <w:p w14:paraId="138EFDC2"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lastRenderedPageBreak/>
        <w:t>Ограничение: до 160 символов. Яндексу свойственно формировать сниппеты из текста страницы, однако качественный Description с высокой вероятностью подтягивается в выдачу, если он плотно насыщен LSI-векторами и отвечает на интент пользователя.</w:t>
      </w:r>
    </w:p>
    <w:p w14:paraId="6FA9B9E4"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b/>
          <w:bCs/>
          <w:sz w:val="24"/>
          <w:szCs w:val="24"/>
          <w:lang w:eastAsia="ru-RU"/>
        </w:rPr>
        <w:t>Сгенерированный оптимизированный Description (158 символов):</w:t>
      </w:r>
    </w:p>
    <w:p w14:paraId="5D4D456E"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Courier New" w:eastAsia="Times New Roman" w:hAnsi="Courier New" w:cs="Courier New"/>
          <w:sz w:val="20"/>
          <w:szCs w:val="20"/>
          <w:lang w:eastAsia="ru-RU"/>
        </w:rPr>
        <w:t>&lt;meta name="description" content="Ищете честные онлайн казино на реальные деньги? Проверенный ТОП-10 лучших сайтов {year} года с моментальным выводом на карту и СБП. Слоты без верификации."&gt;</w:t>
      </w:r>
    </w:p>
    <w:p w14:paraId="786D727C"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i/>
          <w:iCs/>
          <w:sz w:val="24"/>
          <w:szCs w:val="24"/>
          <w:lang w:eastAsia="ru-RU"/>
        </w:rPr>
        <w:t>Аналитическое обоснование:</w:t>
      </w:r>
    </w:p>
    <w:p w14:paraId="19CE03F9" w14:textId="77777777" w:rsidR="007614CF" w:rsidRPr="007614CF" w:rsidRDefault="007614CF" w:rsidP="007614CF">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Использование вопросительной конструкции в начале привлекает взгляд.</w:t>
      </w:r>
    </w:p>
    <w:p w14:paraId="0F7B23ED" w14:textId="77777777" w:rsidR="007614CF" w:rsidRPr="007614CF" w:rsidRDefault="007614CF" w:rsidP="007614CF">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Внедрение мощных LSI-терминов: «честные», «лучших сайтов».</w:t>
      </w:r>
    </w:p>
    <w:p w14:paraId="021E04FB" w14:textId="77777777" w:rsidR="007614CF" w:rsidRPr="007614CF" w:rsidRDefault="007614CF" w:rsidP="007614CF">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Прямое закрытие двух главных болей игрока: скорость транзакций («моментальным выводом на карту и СБП») и анонимность («без верификации»).</w:t>
      </w:r>
    </w:p>
    <w:p w14:paraId="54B1C868" w14:textId="77777777" w:rsidR="007614CF" w:rsidRPr="007614CF" w:rsidRDefault="007614CF" w:rsidP="007614CF">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Длина (158 символов) гарантирует полное отображение текста в мобильной выдаче без усечения.</w:t>
      </w:r>
    </w:p>
    <w:p w14:paraId="4362129A" w14:textId="77777777" w:rsidR="007614CF" w:rsidRPr="007614CF" w:rsidRDefault="007614CF" w:rsidP="007614CF">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614CF">
        <w:rPr>
          <w:rFonts w:ascii="Times New Roman" w:eastAsia="Times New Roman" w:hAnsi="Times New Roman" w:cs="Times New Roman"/>
          <w:b/>
          <w:bCs/>
          <w:sz w:val="36"/>
          <w:szCs w:val="36"/>
          <w:lang w:eastAsia="ru-RU"/>
        </w:rPr>
        <w:t>Влияние семантической разметки и поведенческих факторов</w:t>
      </w:r>
    </w:p>
    <w:p w14:paraId="2470801A"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 xml:space="preserve">В дополнение к базовым мета-тегам, современный SEO-стандарт требует внедрения микроразметки Schema.org в формате JSON-LD. Для агрегатора онлайн-казино критически важно использовать разметку </w:t>
      </w:r>
      <w:r w:rsidRPr="007614CF">
        <w:rPr>
          <w:rFonts w:ascii="Courier New" w:eastAsia="Times New Roman" w:hAnsi="Courier New" w:cs="Courier New"/>
          <w:sz w:val="20"/>
          <w:szCs w:val="20"/>
          <w:lang w:eastAsia="ru-RU"/>
        </w:rPr>
        <w:t>ItemList</w:t>
      </w:r>
      <w:r w:rsidRPr="007614CF">
        <w:rPr>
          <w:rFonts w:ascii="Times New Roman" w:eastAsia="Times New Roman" w:hAnsi="Times New Roman" w:cs="Times New Roman"/>
          <w:sz w:val="24"/>
          <w:szCs w:val="24"/>
          <w:lang w:eastAsia="ru-RU"/>
        </w:rPr>
        <w:t xml:space="preserve"> (для структурирования самого рейтинга) и </w:t>
      </w:r>
      <w:r w:rsidRPr="007614CF">
        <w:rPr>
          <w:rFonts w:ascii="Courier New" w:eastAsia="Times New Roman" w:hAnsi="Courier New" w:cs="Courier New"/>
          <w:sz w:val="20"/>
          <w:szCs w:val="20"/>
          <w:lang w:eastAsia="ru-RU"/>
        </w:rPr>
        <w:t>FAQPage</w:t>
      </w:r>
      <w:r w:rsidRPr="007614CF">
        <w:rPr>
          <w:rFonts w:ascii="Times New Roman" w:eastAsia="Times New Roman" w:hAnsi="Times New Roman" w:cs="Times New Roman"/>
          <w:sz w:val="24"/>
          <w:szCs w:val="24"/>
          <w:lang w:eastAsia="ru-RU"/>
        </w:rPr>
        <w:t xml:space="preserve"> (для вывода блока часто задаваемых вопросов непосредственно в поисковую выдачу Яндекса).</w:t>
      </w:r>
    </w:p>
    <w:p w14:paraId="0AEF3D57"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Архитектура Astro позволяет генерировать и инжектировать JSON-LD скрипты на этапе билда. Это означает, что YandexBot получает структурированные данные мгновенно, без необходимости исполнять клиентские скрипты. Наличие расширенного сниппета с рейтинговыми звездами, ценами минимального депозита и выпадающим списком ответов (FAQ) способно увеличить кликабельность (CTR) позиции в выдаче на 15-25%.</w:t>
      </w:r>
    </w:p>
    <w:p w14:paraId="1710E88F"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В свою очередь, поведенческие факторы (ПФ), которые в алгоритмах Яндекса имеют решающее значение для удержания позиций в ТОП-10, напрямую зависят от качества контента, представленного на Этапе 2. Если текст избавлен от «воды», читается легко, а списки позволяют быстро сканировать глазами критерии выбора и финансовые условия, пользователь задерживается на странице. Глубокое погружение в материал, переходы по якорным ссылкам к карточкам брендов и взаимодействие с фильтрами формируют паттерн «решенной задачи» (Last Click). Поисковая система фиксирует, что пользователь не вернулся в выдачу искать другие рейтинги, и закрепляет страницу на высоких позициях.</w:t>
      </w:r>
    </w:p>
    <w:p w14:paraId="7EB66108" w14:textId="77777777" w:rsidR="007614CF" w:rsidRPr="007614CF" w:rsidRDefault="007614CF" w:rsidP="007614CF">
      <w:pPr>
        <w:spacing w:before="100" w:beforeAutospacing="1" w:after="100" w:afterAutospacing="1" w:line="240" w:lineRule="auto"/>
        <w:rPr>
          <w:rFonts w:ascii="Times New Roman" w:eastAsia="Times New Roman" w:hAnsi="Times New Roman" w:cs="Times New Roman"/>
          <w:sz w:val="24"/>
          <w:szCs w:val="24"/>
          <w:lang w:eastAsia="ru-RU"/>
        </w:rPr>
      </w:pPr>
      <w:r w:rsidRPr="007614CF">
        <w:rPr>
          <w:rFonts w:ascii="Times New Roman" w:eastAsia="Times New Roman" w:hAnsi="Times New Roman" w:cs="Times New Roman"/>
          <w:sz w:val="24"/>
          <w:szCs w:val="24"/>
          <w:lang w:eastAsia="ru-RU"/>
        </w:rPr>
        <w:t>Таким образом, синергия сверхбыстрой технологической платформы (Astro SSG), глубоко проработанного семантического ядра, учитывающего интенты и боли 2026 года, а также коммерчески выверенного, плотного текста, написанного по стандартам антиспам-алгоритмов Яндекса, формирует ультимативный инструмент для доминирования в высококонкурентной нише iGaming-аффилиатов.</w:t>
      </w:r>
    </w:p>
    <w:p w14:paraId="20DB895F" w14:textId="77777777" w:rsidR="00F55826" w:rsidRDefault="00F55826"/>
    <w:sectPr w:rsidR="00F558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4133"/>
    <w:multiLevelType w:val="multilevel"/>
    <w:tmpl w:val="F1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900ED"/>
    <w:multiLevelType w:val="multilevel"/>
    <w:tmpl w:val="78E6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31581"/>
    <w:multiLevelType w:val="multilevel"/>
    <w:tmpl w:val="3E6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BC"/>
    <w:rsid w:val="00310ABC"/>
    <w:rsid w:val="007614CF"/>
    <w:rsid w:val="00F55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9FBA83-A727-4C64-B584-6A5C7778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614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614C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614C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14C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614C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614C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7614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614CF"/>
    <w:rPr>
      <w:b/>
      <w:bCs/>
    </w:rPr>
  </w:style>
  <w:style w:type="character" w:styleId="HTML">
    <w:name w:val="HTML Code"/>
    <w:basedOn w:val="a0"/>
    <w:uiPriority w:val="99"/>
    <w:semiHidden/>
    <w:unhideWhenUsed/>
    <w:rsid w:val="007614CF"/>
    <w:rPr>
      <w:rFonts w:ascii="Courier New" w:eastAsia="Times New Roman" w:hAnsi="Courier New" w:cs="Courier New"/>
      <w:sz w:val="20"/>
      <w:szCs w:val="20"/>
    </w:rPr>
  </w:style>
  <w:style w:type="character" w:customStyle="1" w:styleId="ng-tns-c1673804520-49">
    <w:name w:val="ng-tns-c1673804520-49"/>
    <w:basedOn w:val="a0"/>
    <w:rsid w:val="007614CF"/>
  </w:style>
  <w:style w:type="paragraph" w:styleId="HTML0">
    <w:name w:val="HTML Preformatted"/>
    <w:basedOn w:val="a"/>
    <w:link w:val="HTML1"/>
    <w:uiPriority w:val="99"/>
    <w:semiHidden/>
    <w:unhideWhenUsed/>
    <w:rsid w:val="00761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614CF"/>
    <w:rPr>
      <w:rFonts w:ascii="Courier New" w:eastAsia="Times New Roman" w:hAnsi="Courier New" w:cs="Courier New"/>
      <w:sz w:val="20"/>
      <w:szCs w:val="20"/>
      <w:lang w:eastAsia="ru-RU"/>
    </w:rPr>
  </w:style>
  <w:style w:type="character" w:customStyle="1" w:styleId="hljs-tag">
    <w:name w:val="hljs-tag"/>
    <w:basedOn w:val="a0"/>
    <w:rsid w:val="007614CF"/>
  </w:style>
  <w:style w:type="character" w:customStyle="1" w:styleId="hljs-name">
    <w:name w:val="hljs-name"/>
    <w:basedOn w:val="a0"/>
    <w:rsid w:val="007614CF"/>
  </w:style>
  <w:style w:type="character" w:customStyle="1" w:styleId="hljs-attr">
    <w:name w:val="hljs-attr"/>
    <w:basedOn w:val="a0"/>
    <w:rsid w:val="007614CF"/>
  </w:style>
  <w:style w:type="character" w:customStyle="1" w:styleId="hljs-string">
    <w:name w:val="hljs-string"/>
    <w:basedOn w:val="a0"/>
    <w:rsid w:val="00761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959400">
      <w:bodyDiv w:val="1"/>
      <w:marLeft w:val="0"/>
      <w:marRight w:val="0"/>
      <w:marTop w:val="0"/>
      <w:marBottom w:val="0"/>
      <w:divBdr>
        <w:top w:val="none" w:sz="0" w:space="0" w:color="auto"/>
        <w:left w:val="none" w:sz="0" w:space="0" w:color="auto"/>
        <w:bottom w:val="none" w:sz="0" w:space="0" w:color="auto"/>
        <w:right w:val="none" w:sz="0" w:space="0" w:color="auto"/>
      </w:divBdr>
      <w:divsChild>
        <w:div w:id="2079203449">
          <w:marLeft w:val="0"/>
          <w:marRight w:val="0"/>
          <w:marTop w:val="0"/>
          <w:marBottom w:val="0"/>
          <w:divBdr>
            <w:top w:val="none" w:sz="0" w:space="0" w:color="auto"/>
            <w:left w:val="none" w:sz="0" w:space="0" w:color="auto"/>
            <w:bottom w:val="none" w:sz="0" w:space="0" w:color="auto"/>
            <w:right w:val="none" w:sz="0" w:space="0" w:color="auto"/>
          </w:divBdr>
        </w:div>
        <w:div w:id="538708901">
          <w:marLeft w:val="0"/>
          <w:marRight w:val="0"/>
          <w:marTop w:val="0"/>
          <w:marBottom w:val="0"/>
          <w:divBdr>
            <w:top w:val="none" w:sz="0" w:space="0" w:color="auto"/>
            <w:left w:val="none" w:sz="0" w:space="0" w:color="auto"/>
            <w:bottom w:val="none" w:sz="0" w:space="0" w:color="auto"/>
            <w:right w:val="none" w:sz="0" w:space="0" w:color="auto"/>
          </w:divBdr>
        </w:div>
        <w:div w:id="1894465726">
          <w:marLeft w:val="0"/>
          <w:marRight w:val="0"/>
          <w:marTop w:val="0"/>
          <w:marBottom w:val="0"/>
          <w:divBdr>
            <w:top w:val="none" w:sz="0" w:space="0" w:color="auto"/>
            <w:left w:val="none" w:sz="0" w:space="0" w:color="auto"/>
            <w:bottom w:val="none" w:sz="0" w:space="0" w:color="auto"/>
            <w:right w:val="none" w:sz="0" w:space="0" w:color="auto"/>
          </w:divBdr>
        </w:div>
        <w:div w:id="1625307393">
          <w:marLeft w:val="0"/>
          <w:marRight w:val="0"/>
          <w:marTop w:val="0"/>
          <w:marBottom w:val="0"/>
          <w:divBdr>
            <w:top w:val="none" w:sz="0" w:space="0" w:color="auto"/>
            <w:left w:val="none" w:sz="0" w:space="0" w:color="auto"/>
            <w:bottom w:val="none" w:sz="0" w:space="0" w:color="auto"/>
            <w:right w:val="none" w:sz="0" w:space="0" w:color="auto"/>
          </w:divBdr>
          <w:divsChild>
            <w:div w:id="877667341">
              <w:marLeft w:val="0"/>
              <w:marRight w:val="0"/>
              <w:marTop w:val="0"/>
              <w:marBottom w:val="0"/>
              <w:divBdr>
                <w:top w:val="none" w:sz="0" w:space="0" w:color="auto"/>
                <w:left w:val="none" w:sz="0" w:space="0" w:color="auto"/>
                <w:bottom w:val="none" w:sz="0" w:space="0" w:color="auto"/>
                <w:right w:val="none" w:sz="0" w:space="0" w:color="auto"/>
              </w:divBdr>
            </w:div>
            <w:div w:id="1892225495">
              <w:marLeft w:val="0"/>
              <w:marRight w:val="0"/>
              <w:marTop w:val="0"/>
              <w:marBottom w:val="0"/>
              <w:divBdr>
                <w:top w:val="none" w:sz="0" w:space="0" w:color="auto"/>
                <w:left w:val="none" w:sz="0" w:space="0" w:color="auto"/>
                <w:bottom w:val="none" w:sz="0" w:space="0" w:color="auto"/>
                <w:right w:val="none" w:sz="0" w:space="0" w:color="auto"/>
              </w:divBdr>
              <w:divsChild>
                <w:div w:id="7099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4035</Words>
  <Characters>23002</Characters>
  <Application>Microsoft Office Word</Application>
  <DocSecurity>0</DocSecurity>
  <Lines>191</Lines>
  <Paragraphs>53</Paragraphs>
  <ScaleCrop>false</ScaleCrop>
  <Company/>
  <LinksUpToDate>false</LinksUpToDate>
  <CharactersWithSpaces>26984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 Компом Опять</dc:creator>
  <cp:keywords/>
  <dc:description/>
  <cp:lastModifiedBy>За Компом Опять</cp:lastModifiedBy>
  <cp:revision>3</cp:revision>
  <dcterms:created xsi:type="dcterms:W3CDTF">2026-03-19T22:36:00Z</dcterms:created>
  <dcterms:modified xsi:type="dcterms:W3CDTF">2026-03-19T22:36:00Z</dcterms:modified>
</cp:coreProperties>
</file>