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C1F33"/>
          <w:sz w:val="36"/>
        </w:rPr>
        <w:t>JHI Company Book — Policy, Procedures &amp; Processes</w:t>
      </w:r>
    </w:p>
    <w:p>
      <w:r>
        <w:rPr>
          <w:color w:val="5A6B7D"/>
          <w:sz w:val="18"/>
        </w:rPr>
        <w:t>JHI Research &amp; Analytics Firm, Inc. (proprietary)  ·  JHI-SIG: 69M2705M  ·  generated 2026-07-30</w:t>
      </w:r>
    </w:p>
    <w:p>
      <w:pPr>
        <w:spacing w:after="60"/>
      </w:pPr>
      <w:r>
        <w:rPr>
          <w:b w:val="0"/>
          <w:i/>
          <w:color w:val="5A6B7D"/>
          <w:sz w:val="21"/>
        </w:rPr>
        <w:t>The single source of truth for how the firm operates. Living document — every new capability is documented as Policy → Procedure → Process → Job Aid before it is considered done.</w:t>
      </w:r>
    </w:p>
    <w:p>
      <w:pPr>
        <w:spacing w:before="200" w:after="80"/>
      </w:pPr>
      <w:r>
        <w:rPr>
          <w:b/>
          <w:color w:val="0C1F33"/>
          <w:sz w:val="26"/>
        </w:rPr>
        <w:t>Guiding philosophy</w:t>
      </w:r>
    </w:p>
    <w:p>
      <w:pPr>
        <w:pStyle w:val="ListBullet"/>
        <w:spacing w:after="40"/>
      </w:pPr>
      <w:r>
        <w:rPr>
          <w:sz w:val="21"/>
        </w:rPr>
        <w:t>“How we do anything is how we do everything.” Standards are universal, not situational.</w:t>
      </w:r>
    </w:p>
    <w:p>
      <w:pPr>
        <w:pStyle w:val="ListBullet"/>
        <w:spacing w:after="40"/>
      </w:pPr>
      <w:r>
        <w:rPr>
          <w:sz w:val="21"/>
        </w:rPr>
        <w:t>Run live by Efficiency &amp; Effectiveness — least wasted energy, doing the right thing well.</w:t>
      </w:r>
    </w:p>
    <w:p>
      <w:pPr>
        <w:pStyle w:val="ListBullet"/>
        <w:spacing w:after="40"/>
      </w:pPr>
      <w:r>
        <w:rPr>
          <w:sz w:val="21"/>
        </w:rPr>
        <w:t>Foundation first — structure and standards precede feature work.</w:t>
      </w:r>
    </w:p>
    <w:p>
      <w:pPr>
        <w:spacing w:before="200" w:after="80"/>
      </w:pPr>
      <w:r>
        <w:rPr>
          <w:b/>
          <w:color w:val="0C1F33"/>
          <w:sz w:val="26"/>
        </w:rPr>
        <w:t>Definitions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C1F33"/>
          </w:tcPr>
          <w:p>
            <w:r>
              <w:rPr>
                <w:b/>
                <w:color w:val="FFFFFF"/>
                <w:sz w:val="19"/>
              </w:rPr>
              <w:t>Term</w:t>
            </w:r>
          </w:p>
        </w:tc>
        <w:tc>
          <w:tcPr>
            <w:tcW w:type="dxa" w:w="4320"/>
            <w:shd w:val="clear" w:fill="0C1F33"/>
          </w:tcPr>
          <w:p>
            <w:r>
              <w:rPr>
                <w:b/>
                <w:color w:val="FFFFFF"/>
                <w:sz w:val="19"/>
              </w:rPr>
              <w:t>Meaning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Policy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The rule and the why — a standing decision that governs behavior.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Procedure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The step-by-step ‘how’ to perform a specific task correctly.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Process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The end-to-end flow connecting procedures/steps across the firm.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Job Aid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A quick-reference for a single task, including troubleshooting.</w:t>
            </w:r>
          </w:p>
        </w:tc>
      </w:tr>
    </w:tbl>
    <w:p>
      <w:pPr>
        <w:spacing w:before="200" w:after="80"/>
      </w:pPr>
      <w:r>
        <w:rPr>
          <w:b/>
          <w:color w:val="0C1F33"/>
          <w:sz w:val="26"/>
        </w:rPr>
        <w:t>How we document (the meta-procedure) — MANDATORY</w:t>
      </w:r>
    </w:p>
    <w:p>
      <w:pPr>
        <w:pStyle w:val="ListBullet"/>
        <w:spacing w:after="40"/>
      </w:pPr>
      <w:r>
        <w:rPr>
          <w:sz w:val="21"/>
        </w:rPr>
        <w:t>Policy — the governing rule (if new governance is implied).</w:t>
      </w:r>
    </w:p>
    <w:p>
      <w:pPr>
        <w:pStyle w:val="ListBullet"/>
        <w:spacing w:after="40"/>
      </w:pPr>
      <w:r>
        <w:rPr>
          <w:sz w:val="21"/>
        </w:rPr>
        <w:t>Procedure — the exact steps to do it.</w:t>
      </w:r>
    </w:p>
    <w:p>
      <w:pPr>
        <w:pStyle w:val="ListBullet"/>
        <w:spacing w:after="40"/>
      </w:pPr>
      <w:r>
        <w:rPr>
          <w:sz w:val="21"/>
        </w:rPr>
        <w:t>Process — where it fits in the end-to-end flow.</w:t>
      </w:r>
    </w:p>
    <w:p>
      <w:pPr>
        <w:pStyle w:val="ListBullet"/>
        <w:spacing w:after="40"/>
      </w:pPr>
      <w:r>
        <w:rPr>
          <w:sz w:val="21"/>
        </w:rPr>
        <w:t>Job Aid — quick reference + troubleshooting (docs/TroubleShoot/Job-Aids/).</w:t>
      </w:r>
    </w:p>
    <w:p>
      <w:pPr>
        <w:spacing w:after="60"/>
      </w:pPr>
      <w:r>
        <w:rPr>
          <w:b/>
          <w:i w:val="0"/>
          <w:sz w:val="21"/>
        </w:rPr>
        <w:t>Nothing is ‘done’ until it is documented here (or linked from here).</w:t>
      </w:r>
    </w:p>
    <w:p>
      <w:pPr>
        <w:spacing w:before="200" w:after="80"/>
      </w:pPr>
      <w:r>
        <w:rPr>
          <w:b/>
          <w:color w:val="0C1F33"/>
          <w:sz w:val="26"/>
        </w:rPr>
        <w:t>The Book — sections &amp; source-of-truth documents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0C1F33"/>
          </w:tcPr>
          <w:p>
            <w:r>
              <w:rPr>
                <w:b/>
                <w:color w:val="FFFFFF"/>
                <w:sz w:val="19"/>
              </w:rPr>
              <w:t>Section</w:t>
            </w:r>
          </w:p>
        </w:tc>
        <w:tc>
          <w:tcPr>
            <w:tcW w:type="dxa" w:w="4320"/>
            <w:shd w:val="clear" w:fill="0C1F33"/>
          </w:tcPr>
          <w:p>
            <w:r>
              <w:rPr>
                <w:b/>
                <w:color w:val="FFFFFF"/>
                <w:sz w:val="19"/>
              </w:rPr>
              <w:t>Authoritative doc(s)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1. Governance &amp; Engineering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docs/ENGINEERING_POLICY.md ; AGENTS.md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2. Product &amp; Platform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docs/PLATFORM_IA_BLUEPRINT.md (Mirror, Core Rule, Context, Depth principles)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3. Pricing &amp; Billing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docs/PRICING_BILLING_SCHEMA.md (T1 $1,500 / T2 $299 / T3 $110 list, $1,188 prepaid)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4. Sales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docs/SALES_COMMISSION_MODEL.md ; scripts/sales_commission_prepaid_model.py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5. Data, Licensing &amp; Compliance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IA Blueprint Part J ; MARKET_DATA_VENDOR_COMPARISON.md ; COMPANY_POSTURE_AND_COMPLIANCE.md ; SECURITY_POSTURE_AND_DATA_PROTECTION.md ; docs/legal/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6. People &amp; Organization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docs/JOB_DESCRIPTIONS_AND_STAFFING_REQUIREMENTS.md ; docs/AI_AGENT_TEAM_PROFILES.md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7. Finance &amp; Governance Records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docs/board/ ; docs/financial_models/ ; docs/projections/ ; docs/ip/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8. Job Aids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docs/TroubleShoot/Job-Aids/ (Excel Download Recovery, + future aids)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9. Reference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docs/GLOSSARY_AND_ACRONYMS.md ; docs/internal_valuation_package/PITCH_DECK.md</w:t>
            </w:r>
          </w:p>
        </w:tc>
      </w:tr>
    </w:tbl>
    <w:p>
      <w:pPr>
        <w:spacing w:before="200" w:after="80"/>
      </w:pPr>
      <w:r>
        <w:rPr>
          <w:b/>
          <w:color w:val="0C1F33"/>
          <w:sz w:val="26"/>
        </w:rPr>
        <w:t>Maintenance</w:t>
      </w:r>
    </w:p>
    <w:p>
      <w:pPr>
        <w:pStyle w:val="ListBullet"/>
        <w:spacing w:after="40"/>
      </w:pPr>
      <w:r>
        <w:rPr>
          <w:sz w:val="21"/>
        </w:rPr>
        <w:t>Living document — update whenever a policy/procedure/process is added or changed.</w:t>
      </w:r>
    </w:p>
    <w:p>
      <w:pPr>
        <w:pStyle w:val="ListBullet"/>
        <w:spacing w:after="40"/>
      </w:pPr>
      <w:r>
        <w:rPr>
          <w:sz w:val="21"/>
        </w:rPr>
        <w:t>Word edition regenerated by scripts/company_book_doc.py after edits.</w:t>
      </w:r>
    </w:p>
    <w:p>
      <w:pPr>
        <w:pStyle w:val="ListBullet"/>
        <w:spacing w:after="40"/>
      </w:pPr>
      <w:r>
        <w:rPr>
          <w:sz w:val="21"/>
        </w:rPr>
        <w:t>Reviewed at Founder working sessions; material changes noted in board minutes.</w:t>
      </w:r>
    </w:p>
    <w:p>
      <w:r>
        <w:rPr>
          <w:color w:val="5A6B7D"/>
          <w:sz w:val="16"/>
        </w:rPr>
        <w:t>© 2026 JHI Research &amp; Analytics Firm, Inc.. All rights reserved. Confidential — internal use. Provenance: JHI-SIG: 69M2705M.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