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9A6B12"/>
          <w:sz w:val="20"/>
        </w:rPr>
        <w:t>JHI RESEARCH &amp; ANALYTICS FIRM, INC.</w:t>
      </w:r>
    </w:p>
    <w:p>
      <w:r>
        <w:rPr>
          <w:b/>
          <w:color w:val="0C1F33"/>
          <w:sz w:val="44"/>
        </w:rPr>
        <w:t>Competitive Deep-Dive &amp; Reverse-Engineering Audit</w:t>
      </w:r>
    </w:p>
    <w:p>
      <w:r>
        <w:rPr>
          <w:color w:val="0C1F33"/>
          <w:sz w:val="26"/>
        </w:rPr>
        <w:t>Mergr · S&amp;P Global Market Intelligence (Capital IQ Pro) · CB Insights</w:t>
      </w:r>
    </w:p>
    <w:p>
      <w:r>
        <w:rPr>
          <w:i/>
          <w:color w:val="5A6B7D"/>
          <w:sz w:val="18"/>
        </w:rPr>
        <w:t>Confidential — Board Discussion Draft  ·  2026-07-12  ·  Prepared by Cy (VP, Software Engineering — AI teammate)  ·  JHI-SIG: 69M2705M</w:t>
      </w:r>
    </w:p>
    <w:p>
      <w:r>
        <w:rPr>
          <w:i/>
          <w:color w:val="5A6B7D"/>
          <w:sz w:val="18"/>
        </w:rPr>
        <w:t>Not legal, tax, or investment advice. Competitor figures are best-available PUBLIC estimates (product pages, pricing intelligence, user reviews) and must be verified via live trial and written quotes before any board decision. This document is intended for the JHI Board of Directors and is a companion to docs/COMPETITOR_TEARDOWN_AND_GAP_MAP.md and docs/COMPETITOR_DEEP_DIVE_PAIN_POINTS.md.</w:t>
      </w:r>
    </w:p>
    <w:p>
      <w:pPr>
        <w:pStyle w:val="Heading1"/>
      </w:pPr>
      <w:r>
        <w:rPr>
          <w:color w:val="0C1F33"/>
        </w:rPr>
        <w:t>1. Executive Summary</w:t>
      </w:r>
    </w:p>
    <w:p>
      <w:r>
        <w:t>We reverse-engineered three market-intelligence platforms — Mergr, S&amp;P Global Market Intelligence (Capital IQ Pro), and CB Insights — to find a solvable, underserved pain point (“diamond in the rough”) that JHI can win at acceptable cost and risk. The goal is not to out-data the incumbents; it is to identify where their revenue mechanics leave a defensible gap that our end-to-end diligence workflow already addresses.</w:t>
      </w:r>
    </w:p>
    <w:p>
      <w:pPr>
        <w:pStyle w:val="ListBullet"/>
      </w:pPr>
      <w:r>
        <w:rPr>
          <w:b/>
        </w:rPr>
        <w:t>Finding:</w:t>
      </w:r>
      <w:r>
        <w:t xml:space="preserve"> All three sell expensive data or signals; none deliver an affordable, transparent, decision-ready diligence workflow for the SMB / lower-middle-market acquirer (searcher, independent sponsor, family office, RIA, business broker).</w:t>
      </w:r>
    </w:p>
    <w:p>
      <w:pPr>
        <w:pStyle w:val="ListBullet"/>
      </w:pPr>
      <w:r>
        <w:rPr>
          <w:b/>
        </w:rPr>
        <w:t>The diamond:</w:t>
      </w:r>
      <w:r>
        <w:t xml:space="preserve"> the automated first-pass CIM read → normalized earnings → CPA-signed Quality of Earnings → close, priced for the buyer the incumbents design out. This is JHI’s Deal X-Ray + QoE + Pipeline, exactly.</w:t>
      </w:r>
    </w:p>
    <w:p>
      <w:pPr>
        <w:pStyle w:val="ListBullet"/>
      </w:pPr>
      <w:r>
        <w:rPr>
          <w:b/>
        </w:rPr>
        <w:t>Verdict:</w:t>
      </w:r>
      <w:r>
        <w:t xml:space="preserve"> WATCH → GO on a narrow beachhead, conditional on (a) validating the Deal/Opportunity Score, (b) securing NASDAQ/Sharadar derived-data distribution rights, and (c) holding costs lean. Do NOT attempt to match S&amp;P or CB Insights on data breadth.</w:t>
      </w:r>
    </w:p>
    <w:p>
      <w:pPr>
        <w:pStyle w:val="Heading1"/>
      </w:pPr>
      <w:r>
        <w:rPr>
          <w:color w:val="0C1F33"/>
        </w:rPr>
        <w:t>2. Reverse-Engineering Method</w:t>
      </w:r>
    </w:p>
    <w:p>
      <w:r>
        <w:t>For each platform we extract seven lenses, consistent with our existing teardown rubric: positioning/ICP, information architecture, the “plumbing” (data + models + tools + outputs), moat, validation/trust strategy, pricing &amp; packaging, and the open pain points we can exploit. We separate revenue mechanics from aesthetics and compete only where we can win: integration, price, the underserved niche, and radical transparency.</w:t>
      </w:r>
    </w:p>
    <w:p>
      <w:pPr>
        <w:pStyle w:val="Heading1"/>
      </w:pPr>
      <w:r>
        <w:rPr>
          <w:color w:val="0C1F33"/>
        </w:rPr>
        <w:t>3. Competitor Teardowns</w:t>
      </w:r>
    </w:p>
    <w:p>
      <w:pPr>
        <w:pStyle w:val="Heading2"/>
      </w:pPr>
      <w:r>
        <w:rPr>
          <w:color w:val="0C1F33"/>
        </w:rPr>
        <w:t>3.1 Mergr — the accessible M&amp;A deal directory</w:t>
      </w:r>
    </w:p>
    <w:p>
      <w:pPr>
        <w:pStyle w:val="ListBullet"/>
      </w:pPr>
      <w:r>
        <w:rPr>
          <w:b/>
        </w:rPr>
        <w:t>Snapshot:</w:t>
      </w:r>
      <w:r>
        <w:t xml:space="preserve"> Independent M&amp;A / private-equity transaction database; company, acquirer, and PE-firm profiles with add-on histories. Clean, honest “Who uses it” framing.</w:t>
      </w:r>
    </w:p>
    <w:p>
      <w:pPr>
        <w:pStyle w:val="ListBullet"/>
      </w:pPr>
      <w:r>
        <w:rPr>
          <w:b/>
        </w:rPr>
        <w:t>ICP:</w:t>
      </w:r>
      <w:r>
        <w:t xml:space="preserve"> corporate development, M&amp;A advisors, business brokers, PE business-development, and searchers doing market mapping / comparable-deal research.</w:t>
      </w:r>
    </w:p>
    <w:p>
      <w:pPr>
        <w:pStyle w:val="ListBullet"/>
      </w:pPr>
      <w:r>
        <w:rPr>
          <w:b/>
        </w:rPr>
        <w:t>Plumbing (data → output):</w:t>
      </w:r>
      <w:r>
        <w:t xml:space="preserve"> aggregated from public sources (press releases, filings, news). Broad on announced deals; shallow on underlying financials. No proprietary score; output is directory profiles, deal lists, and ~15 pre-built M&amp;A workflows (Buyer Match, Dossier, Roll-up tracker).</w:t>
      </w:r>
    </w:p>
    <w:p>
      <w:pPr>
        <w:pStyle w:val="ListBullet"/>
      </w:pPr>
      <w:r>
        <w:rPr>
          <w:b/>
        </w:rPr>
        <w:t>Moat:</w:t>
      </w:r>
      <w:r>
        <w:t xml:space="preserve"> modest — tidy UX, transparent low price, and clear positioning. Not a deep data or workflow moat; the most emulatable of the three.</w:t>
      </w:r>
    </w:p>
    <w:p>
      <w:pPr>
        <w:pStyle w:val="ListBullet"/>
      </w:pPr>
      <w:r>
        <w:rPr>
          <w:b/>
        </w:rPr>
        <w:t>Pricing (verified, public):</w:t>
      </w:r>
      <w:r>
        <w:t xml:space="preserve"> Mergr Pro $150/mo (~$1,800/yr) + $100/user/mo for team seats; 7-day free self-serve trial, month-to-month, cancel anytime; custom/annual plans from 10 seats. Positions itself explicitly as a PitchBook alternative ($150/mo vs. $25k–$50k+/yr).</w:t>
      </w:r>
    </w:p>
    <w:p>
      <w:pPr>
        <w:pStyle w:val="ListBullet"/>
      </w:pPr>
      <w:r>
        <w:rPr>
          <w:b/>
        </w:rPr>
        <w:t>Pain points / gaps:</w:t>
      </w:r>
      <w:r>
        <w:t xml:space="preserve"> not a diligence tool; thin financial depth; no CIM ingestion, no normalized earnings, no QoE, no close workflow.</w:t>
      </w:r>
    </w:p>
    <w:p>
      <w:pPr>
        <w:pStyle w:val="ListBullet"/>
      </w:pPr>
      <w:r>
        <w:rPr>
          <w:b/>
        </w:rPr>
        <w:t>JHI angle:</w:t>
      </w:r>
      <w:r>
        <w:t xml:space="preserve"> copy Mergr’s transparency and “Who it’s for” clarity; go beyond it by owning the diligence workflow it never attempts.</w:t>
      </w:r>
    </w:p>
    <w:p>
      <w:pPr>
        <w:pStyle w:val="Heading2"/>
      </w:pPr>
      <w:r>
        <w:rPr>
          <w:color w:val="0C1F33"/>
        </w:rPr>
        <w:t>3.2 S&amp;P Global Market Intelligence (Capital IQ Pro) — the financial-breadth king</w:t>
      </w:r>
    </w:p>
    <w:p>
      <w:pPr>
        <w:pStyle w:val="ListBullet"/>
      </w:pPr>
      <w:r>
        <w:rPr>
          <w:b/>
        </w:rPr>
        <w:t>Snapshot:</w:t>
      </w:r>
      <w:r>
        <w:t xml:space="preserve"> Institutional financial-data platform (successor to Capital IQ). Deep public + private financials, estimates, transactions, ownership, and S&amp;P credit data; Excel plug-in, screening, and Kensho/ChatIQ AI layers.</w:t>
      </w:r>
    </w:p>
    <w:p>
      <w:pPr>
        <w:pStyle w:val="ListBullet"/>
      </w:pPr>
      <w:r>
        <w:rPr>
          <w:b/>
        </w:rPr>
        <w:t>ICP:</w:t>
      </w:r>
      <w:r>
        <w:t xml:space="preserve"> investment banking, private equity, corporate development, equity &amp; credit research, and large corporates.</w:t>
      </w:r>
    </w:p>
    <w:p>
      <w:pPr>
        <w:pStyle w:val="ListBullet"/>
      </w:pPr>
      <w:r>
        <w:rPr>
          <w:b/>
        </w:rPr>
        <w:t>Plumbing:</w:t>
      </w:r>
      <w:r>
        <w:t xml:space="preserve"> tens of millions of company records, standardized financials, an industry-standard Excel add-in, and integrated S&amp;P ratings/credit — a 10M+ research-hour-class data operation.</w:t>
      </w:r>
    </w:p>
    <w:p>
      <w:pPr>
        <w:pStyle w:val="ListBullet"/>
      </w:pPr>
      <w:r>
        <w:rPr>
          <w:b/>
        </w:rPr>
        <w:t>Moat:</w:t>
      </w:r>
      <w:r>
        <w:t xml:space="preserve"> very high — data breadth + S&amp;P brand/ratings + entrenched Excel workflow lock-in + enterprise integrations. Not displaceable on data.</w:t>
      </w:r>
    </w:p>
    <w:p>
      <w:pPr>
        <w:pStyle w:val="ListBullet"/>
      </w:pPr>
      <w:r>
        <w:rPr>
          <w:b/>
        </w:rPr>
        <w:t>Pricing (no public list; third-party estimates):</w:t>
      </w:r>
      <w:r>
        <w:t xml:space="preserve"> per-user tiers roughly Essentials $12k / Standard $20k / Advanced $25k per year; Vendr procurement (55 buys) shows org contracts ~$15k–$215k/yr, median ~$53k; total cost of ownership often ~70% above list (integrations, support). Annual, auto-renewing.</w:t>
      </w:r>
    </w:p>
    <w:p>
      <w:pPr>
        <w:pStyle w:val="ListBullet"/>
      </w:pPr>
      <w:r>
        <w:rPr>
          <w:b/>
        </w:rPr>
        <w:t>Pain points / gaps:</w:t>
      </w:r>
      <w:r>
        <w:t xml:space="preserve"> cost; steep learning curve; overkill for SMB buyers; per-seat gouging and opaque pricing; no Main-Street SMB deal-diligence layer.</w:t>
      </w:r>
    </w:p>
    <w:p>
      <w:pPr>
        <w:pStyle w:val="ListBullet"/>
      </w:pPr>
      <w:r>
        <w:rPr>
          <w:b/>
        </w:rPr>
        <w:t>JHI angle:</w:t>
      </w:r>
      <w:r>
        <w:t xml:space="preserve"> do not compete on breadth. Win on price, approachability, and the end-to-end SMB diligence workflow Capital IQ is not built to serve.</w:t>
      </w:r>
    </w:p>
    <w:p>
      <w:pPr>
        <w:pStyle w:val="Heading2"/>
      </w:pPr>
      <w:r>
        <w:rPr>
          <w:color w:val="0C1F33"/>
        </w:rPr>
        <w:t>3.3 CB Insights — the private-market signals &amp; content engine</w:t>
      </w:r>
    </w:p>
    <w:p>
      <w:pPr>
        <w:pStyle w:val="ListBullet"/>
      </w:pPr>
      <w:r>
        <w:rPr>
          <w:b/>
        </w:rPr>
        <w:t>Snapshot:</w:t>
      </w:r>
      <w:r>
        <w:t xml:space="preserve"> Tech / venture / private-market intelligence — startup &amp; funding data, patents, news, market maps, the proprietary “Mosaic” company-health score, and a large analyst-content/newsletter brand.</w:t>
      </w:r>
    </w:p>
    <w:p>
      <w:pPr>
        <w:pStyle w:val="ListBullet"/>
      </w:pPr>
      <w:r>
        <w:rPr>
          <w:b/>
        </w:rPr>
        <w:t>ICP:</w:t>
      </w:r>
      <w:r>
        <w:t xml:space="preserve"> corporate strategy &amp; innovation teams, venture capital, and tech-focused M&amp;A / business development.</w:t>
      </w:r>
    </w:p>
    <w:p>
      <w:pPr>
        <w:pStyle w:val="ListBullet"/>
      </w:pPr>
      <w:r>
        <w:rPr>
          <w:b/>
        </w:rPr>
        <w:t>Plumbing:</w:t>
      </w:r>
      <w:r>
        <w:t xml:space="preserve"> proprietary signals (Mosaic score), market maps, analyst reports, and an AI query layer; a strong content flywheel (newsletter reach) drives top-of-funnel.</w:t>
      </w:r>
    </w:p>
    <w:p>
      <w:pPr>
        <w:pStyle w:val="ListBullet"/>
      </w:pPr>
      <w:r>
        <w:rPr>
          <w:b/>
        </w:rPr>
        <w:t>Moat:</w:t>
      </w:r>
      <w:r>
        <w:t xml:space="preserve"> proprietary scoring + analyst content brand + newsletter distribution + network effects. Content flywheel is the standout, emulatable mechanic.</w:t>
      </w:r>
    </w:p>
    <w:p>
      <w:pPr>
        <w:pStyle w:val="ListBullet"/>
      </w:pPr>
      <w:r>
        <w:rPr>
          <w:b/>
        </w:rPr>
        <w:t>Pricing (no public list; third-party estimates):</w:t>
      </w:r>
      <w:r>
        <w:t xml:space="preserve"> annual, custom-quoted; Vendr median ~$47k/yr, typical ~$60k/yr, enterprise/Insider $120k–$265k+/yr, floor ~$50k. No free self-serve tier or full-platform trial (free = research content + newsletter + a 10-day trial on request).</w:t>
      </w:r>
    </w:p>
    <w:p>
      <w:pPr>
        <w:pStyle w:val="ListBullet"/>
      </w:pPr>
      <w:r>
        <w:rPr>
          <w:b/>
        </w:rPr>
        <w:t>Pain points / gaps:</w:t>
      </w:r>
      <w:r>
        <w:t xml:space="preserve"> expensive; tech/startup-centric (not SMB Main-Street acquisitions); cannot ingest your own CIM/documents; search-UX complaints; no QoE or close workflow; ROI questioned by some buyers.</w:t>
      </w:r>
    </w:p>
    <w:p>
      <w:pPr>
        <w:pStyle w:val="ListBullet"/>
      </w:pPr>
      <w:r>
        <w:rPr>
          <w:b/>
        </w:rPr>
        <w:t>JHI angle:</w:t>
      </w:r>
      <w:r>
        <w:t xml:space="preserve"> emulate the transparent-methodology + content-flywheel mechanics; aim the score at SMB deal decisions CB Insights does not serve, and let users bring their own CIM.</w:t>
      </w:r>
    </w:p>
    <w:p>
      <w:pPr>
        <w:pStyle w:val="Heading1"/>
      </w:pPr>
      <w:r>
        <w:rPr>
          <w:color w:val="0C1F33"/>
        </w:rPr>
        <w:t>4. Cross-Competitor Synthesis</w:t>
      </w:r>
    </w:p>
    <w:p>
      <w:r>
        <w:t>Scored 1 (weak) – 5 (strong) for the SMB/search-fund acquirer’s lens: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0C1F33"/>
          </w:tcPr>
          <w:p>
            <w:r/>
            <w:r>
              <w:rPr>
                <w:b/>
                <w:color w:val="FFFFFF"/>
                <w:sz w:val="18"/>
              </w:rPr>
              <w:t>Platform</w:t>
            </w:r>
          </w:p>
        </w:tc>
        <w:tc>
          <w:tcPr>
            <w:tcW w:type="dxa" w:w="1234"/>
            <w:shd w:val="clear" w:fill="0C1F33"/>
          </w:tcPr>
          <w:p>
            <w:r/>
            <w:r>
              <w:rPr>
                <w:b/>
                <w:color w:val="FFFFFF"/>
                <w:sz w:val="18"/>
              </w:rPr>
              <w:t>SMB fit</w:t>
            </w:r>
          </w:p>
        </w:tc>
        <w:tc>
          <w:tcPr>
            <w:tcW w:type="dxa" w:w="1234"/>
            <w:shd w:val="clear" w:fill="0C1F33"/>
          </w:tcPr>
          <w:p>
            <w:r/>
            <w:r>
              <w:rPr>
                <w:b/>
                <w:color w:val="FFFFFF"/>
                <w:sz w:val="18"/>
              </w:rPr>
              <w:t>Data depth</w:t>
            </w:r>
          </w:p>
        </w:tc>
        <w:tc>
          <w:tcPr>
            <w:tcW w:type="dxa" w:w="1234"/>
            <w:shd w:val="clear" w:fill="0C1F33"/>
          </w:tcPr>
          <w:p>
            <w:r/>
            <w:r>
              <w:rPr>
                <w:b/>
                <w:color w:val="FFFFFF"/>
                <w:sz w:val="18"/>
              </w:rPr>
              <w:t>Diligence workflow</w:t>
            </w:r>
          </w:p>
        </w:tc>
        <w:tc>
          <w:tcPr>
            <w:tcW w:type="dxa" w:w="1234"/>
            <w:shd w:val="clear" w:fill="0C1F33"/>
          </w:tcPr>
          <w:p>
            <w:r/>
            <w:r>
              <w:rPr>
                <w:b/>
                <w:color w:val="FFFFFF"/>
                <w:sz w:val="18"/>
              </w:rPr>
              <w:t>Price access</w:t>
            </w:r>
          </w:p>
        </w:tc>
        <w:tc>
          <w:tcPr>
            <w:tcW w:type="dxa" w:w="1234"/>
            <w:shd w:val="clear" w:fill="0C1F33"/>
          </w:tcPr>
          <w:p>
            <w:r/>
            <w:r>
              <w:rPr>
                <w:b/>
                <w:color w:val="FFFFFF"/>
                <w:sz w:val="18"/>
              </w:rPr>
              <w:t>Primary moat</w:t>
            </w:r>
          </w:p>
        </w:tc>
        <w:tc>
          <w:tcPr>
            <w:tcW w:type="dxa" w:w="1234"/>
            <w:shd w:val="clear" w:fill="0C1F33"/>
          </w:tcPr>
          <w:p>
            <w:r/>
            <w:r>
              <w:rPr>
                <w:b/>
                <w:color w:val="FFFFFF"/>
                <w:sz w:val="18"/>
              </w:rPr>
              <w:t>Biggest gap</w:t>
            </w:r>
          </w:p>
        </w:tc>
      </w:tr>
      <w:tr>
        <w:tc>
          <w:tcPr>
            <w:tcW w:type="dxa" w:w="1234"/>
          </w:tcPr>
          <w:p>
            <w:r/>
            <w:r>
              <w:rPr>
                <w:b/>
                <w:sz w:val="18"/>
              </w:rPr>
              <w:t>Mergr</w:t>
            </w:r>
          </w:p>
        </w:tc>
        <w:tc>
          <w:tcPr>
            <w:tcW w:type="dxa" w:w="1234"/>
          </w:tcPr>
          <w:p>
            <w:r/>
            <w:r>
              <w:rPr>
                <w:b w:val="0"/>
                <w:sz w:val="18"/>
              </w:rPr>
              <w:t>3</w:t>
            </w:r>
          </w:p>
        </w:tc>
        <w:tc>
          <w:tcPr>
            <w:tcW w:type="dxa" w:w="1234"/>
          </w:tcPr>
          <w:p>
            <w:r/>
            <w:r>
              <w:rPr>
                <w:b w:val="0"/>
                <w:sz w:val="18"/>
              </w:rPr>
              <w:t>2</w:t>
            </w:r>
          </w:p>
        </w:tc>
        <w:tc>
          <w:tcPr>
            <w:tcW w:type="dxa" w:w="1234"/>
          </w:tcPr>
          <w:p>
            <w:r/>
            <w:r>
              <w:rPr>
                <w:b w:val="0"/>
                <w:sz w:val="18"/>
              </w:rPr>
              <w:t>1</w:t>
            </w:r>
          </w:p>
        </w:tc>
        <w:tc>
          <w:tcPr>
            <w:tcW w:type="dxa" w:w="1234"/>
          </w:tcPr>
          <w:p>
            <w:r/>
            <w:r>
              <w:rPr>
                <w:b w:val="0"/>
                <w:sz w:val="18"/>
              </w:rPr>
              <w:t>5</w:t>
            </w:r>
          </w:p>
        </w:tc>
        <w:tc>
          <w:tcPr>
            <w:tcW w:type="dxa" w:w="1234"/>
          </w:tcPr>
          <w:p>
            <w:r/>
            <w:r>
              <w:rPr>
                <w:b w:val="0"/>
                <w:sz w:val="18"/>
              </w:rPr>
              <w:t>Price + clean UX</w:t>
            </w:r>
          </w:p>
        </w:tc>
        <w:tc>
          <w:tcPr>
            <w:tcW w:type="dxa" w:w="1234"/>
          </w:tcPr>
          <w:p>
            <w:r/>
            <w:r>
              <w:rPr>
                <w:b w:val="0"/>
                <w:sz w:val="18"/>
              </w:rPr>
              <w:t>No diligence layer</w:t>
            </w:r>
          </w:p>
        </w:tc>
      </w:tr>
      <w:tr>
        <w:tc>
          <w:tcPr>
            <w:tcW w:type="dxa" w:w="1234"/>
          </w:tcPr>
          <w:p>
            <w:r/>
            <w:r>
              <w:rPr>
                <w:b/>
                <w:sz w:val="18"/>
              </w:rPr>
              <w:t>S&amp;P Capital IQ</w:t>
            </w:r>
          </w:p>
        </w:tc>
        <w:tc>
          <w:tcPr>
            <w:tcW w:type="dxa" w:w="1234"/>
          </w:tcPr>
          <w:p>
            <w:r/>
            <w:r>
              <w:rPr>
                <w:b w:val="0"/>
                <w:sz w:val="18"/>
              </w:rPr>
              <w:t>2</w:t>
            </w:r>
          </w:p>
        </w:tc>
        <w:tc>
          <w:tcPr>
            <w:tcW w:type="dxa" w:w="1234"/>
          </w:tcPr>
          <w:p>
            <w:r/>
            <w:r>
              <w:rPr>
                <w:b w:val="0"/>
                <w:sz w:val="18"/>
              </w:rPr>
              <w:t>5</w:t>
            </w:r>
          </w:p>
        </w:tc>
        <w:tc>
          <w:tcPr>
            <w:tcW w:type="dxa" w:w="1234"/>
          </w:tcPr>
          <w:p>
            <w:r/>
            <w:r>
              <w:rPr>
                <w:b w:val="0"/>
                <w:sz w:val="18"/>
              </w:rPr>
              <w:t>1</w:t>
            </w:r>
          </w:p>
        </w:tc>
        <w:tc>
          <w:tcPr>
            <w:tcW w:type="dxa" w:w="1234"/>
          </w:tcPr>
          <w:p>
            <w:r/>
            <w:r>
              <w:rPr>
                <w:b w:val="0"/>
                <w:sz w:val="18"/>
              </w:rPr>
              <w:t>1</w:t>
            </w:r>
          </w:p>
        </w:tc>
        <w:tc>
          <w:tcPr>
            <w:tcW w:type="dxa" w:w="1234"/>
          </w:tcPr>
          <w:p>
            <w:r/>
            <w:r>
              <w:rPr>
                <w:b w:val="0"/>
                <w:sz w:val="18"/>
              </w:rPr>
              <w:t>Data breadth + brand</w:t>
            </w:r>
          </w:p>
        </w:tc>
        <w:tc>
          <w:tcPr>
            <w:tcW w:type="dxa" w:w="1234"/>
          </w:tcPr>
          <w:p>
            <w:r/>
            <w:r>
              <w:rPr>
                <w:b w:val="0"/>
                <w:sz w:val="18"/>
              </w:rPr>
              <w:t>Overkill / costly for SMB</w:t>
            </w:r>
          </w:p>
        </w:tc>
      </w:tr>
      <w:tr>
        <w:tc>
          <w:tcPr>
            <w:tcW w:type="dxa" w:w="1234"/>
          </w:tcPr>
          <w:p>
            <w:r/>
            <w:r>
              <w:rPr>
                <w:b/>
                <w:sz w:val="18"/>
              </w:rPr>
              <w:t>CB Insights</w:t>
            </w:r>
          </w:p>
        </w:tc>
        <w:tc>
          <w:tcPr>
            <w:tcW w:type="dxa" w:w="1234"/>
          </w:tcPr>
          <w:p>
            <w:r/>
            <w:r>
              <w:rPr>
                <w:b w:val="0"/>
                <w:sz w:val="18"/>
              </w:rPr>
              <w:t>2</w:t>
            </w:r>
          </w:p>
        </w:tc>
        <w:tc>
          <w:tcPr>
            <w:tcW w:type="dxa" w:w="1234"/>
          </w:tcPr>
          <w:p>
            <w:r/>
            <w:r>
              <w:rPr>
                <w:b w:val="0"/>
                <w:sz w:val="18"/>
              </w:rPr>
              <w:t>4</w:t>
            </w:r>
          </w:p>
        </w:tc>
        <w:tc>
          <w:tcPr>
            <w:tcW w:type="dxa" w:w="1234"/>
          </w:tcPr>
          <w:p>
            <w:r/>
            <w:r>
              <w:rPr>
                <w:b w:val="0"/>
                <w:sz w:val="18"/>
              </w:rPr>
              <w:t>1</w:t>
            </w:r>
          </w:p>
        </w:tc>
        <w:tc>
          <w:tcPr>
            <w:tcW w:type="dxa" w:w="1234"/>
          </w:tcPr>
          <w:p>
            <w:r/>
            <w:r>
              <w:rPr>
                <w:b w:val="0"/>
                <w:sz w:val="18"/>
              </w:rPr>
              <w:t>1</w:t>
            </w:r>
          </w:p>
        </w:tc>
        <w:tc>
          <w:tcPr>
            <w:tcW w:type="dxa" w:w="1234"/>
          </w:tcPr>
          <w:p>
            <w:r/>
            <w:r>
              <w:rPr>
                <w:b w:val="0"/>
                <w:sz w:val="18"/>
              </w:rPr>
              <w:t>Signals + content brand</w:t>
            </w:r>
          </w:p>
        </w:tc>
        <w:tc>
          <w:tcPr>
            <w:tcW w:type="dxa" w:w="1234"/>
          </w:tcPr>
          <w:p>
            <w:r/>
            <w:r>
              <w:rPr>
                <w:b w:val="0"/>
                <w:sz w:val="18"/>
              </w:rPr>
              <w:t>Tech-centric, no CIM/QoE</w:t>
            </w:r>
          </w:p>
        </w:tc>
      </w:tr>
      <w:tr>
        <w:tc>
          <w:tcPr>
            <w:tcW w:type="dxa" w:w="1234"/>
          </w:tcPr>
          <w:p>
            <w:r/>
            <w:r>
              <w:rPr>
                <w:b/>
                <w:sz w:val="18"/>
              </w:rPr>
              <w:t>JHI (target)</w:t>
            </w:r>
          </w:p>
        </w:tc>
        <w:tc>
          <w:tcPr>
            <w:tcW w:type="dxa" w:w="1234"/>
          </w:tcPr>
          <w:p>
            <w:r/>
            <w:r>
              <w:rPr>
                <w:b w:val="0"/>
                <w:sz w:val="18"/>
              </w:rPr>
              <w:t>5</w:t>
            </w:r>
          </w:p>
        </w:tc>
        <w:tc>
          <w:tcPr>
            <w:tcW w:type="dxa" w:w="1234"/>
          </w:tcPr>
          <w:p>
            <w:r/>
            <w:r>
              <w:rPr>
                <w:b w:val="0"/>
                <w:sz w:val="18"/>
              </w:rPr>
              <w:t>3</w:t>
            </w:r>
          </w:p>
        </w:tc>
        <w:tc>
          <w:tcPr>
            <w:tcW w:type="dxa" w:w="1234"/>
          </w:tcPr>
          <w:p>
            <w:r/>
            <w:r>
              <w:rPr>
                <w:b w:val="0"/>
                <w:sz w:val="18"/>
              </w:rPr>
              <w:t>5</w:t>
            </w:r>
          </w:p>
        </w:tc>
        <w:tc>
          <w:tcPr>
            <w:tcW w:type="dxa" w:w="1234"/>
          </w:tcPr>
          <w:p>
            <w:r/>
            <w:r>
              <w:rPr>
                <w:b w:val="0"/>
                <w:sz w:val="18"/>
              </w:rPr>
              <w:t>5</w:t>
            </w:r>
          </w:p>
        </w:tc>
        <w:tc>
          <w:tcPr>
            <w:tcW w:type="dxa" w:w="1234"/>
          </w:tcPr>
          <w:p>
            <w:r/>
            <w:r>
              <w:rPr>
                <w:b w:val="0"/>
                <w:sz w:val="18"/>
              </w:rPr>
              <w:t>End-to-end + transparency</w:t>
            </w:r>
          </w:p>
        </w:tc>
        <w:tc>
          <w:tcPr>
            <w:tcW w:type="dxa" w:w="1234"/>
          </w:tcPr>
          <w:p>
            <w:r/>
            <w:r>
              <w:rPr>
                <w:b w:val="0"/>
                <w:sz w:val="18"/>
              </w:rPr>
              <w:t>Score validation pending</w:t>
            </w:r>
          </w:p>
        </w:tc>
      </w:tr>
    </w:tbl>
    <w:p>
      <w:r>
        <w:rPr>
          <w:i/>
          <w:color w:val="5A6B7D"/>
          <w:sz w:val="18"/>
        </w:rPr>
        <w:t>Read: every incumbent scores 1 on diligence workflow — the column JHI is built to own. Data depth is their moat, not ours; we win on the workflow, price, and niche they ignore.</w:t>
      </w:r>
    </w:p>
    <w:p>
      <w:pPr>
        <w:pStyle w:val="Heading1"/>
      </w:pPr>
      <w:r>
        <w:rPr>
          <w:color w:val="0C1F33"/>
        </w:rPr>
        <w:t>5. The “Diamond in the Rough” — Opportunity Thesis</w:t>
      </w:r>
    </w:p>
    <w:p>
      <w:r>
        <w:t>The recurring, solvable pain across all three is the same one their own users describe: for the SMB / lower-middle-market acquirer, the bottleneck is not judgment — it is reading. A first-pass review of a data room, tying the CIM to the financials, normalizing how the seller presented the numbers, and building a question list is days of senior time per target, most of it spent on deals that die.</w:t>
      </w:r>
    </w:p>
    <w:p>
      <w:pPr>
        <w:pStyle w:val="ListBullet"/>
      </w:pPr>
      <w:r>
        <w:rPr>
          <w:b/>
        </w:rPr>
        <w:t>The gap:</w:t>
      </w:r>
      <w:r>
        <w:t xml:space="preserve"> between free/thin tools and $13k–$100k+/seat institutional platforms, there is no affordable, transparent, decision-ready diligence workflow for this buyer.</w:t>
      </w:r>
    </w:p>
    <w:p>
      <w:pPr>
        <w:pStyle w:val="ListBullet"/>
      </w:pPr>
      <w:r>
        <w:rPr>
          <w:b/>
        </w:rPr>
        <w:t>The unmet job:</w:t>
      </w:r>
      <w:r>
        <w:t xml:space="preserve"> “get to no fast” — cheap early screening that kills weak deals before the $20k–$30k QoE spend, then an affordable CPA-signed QoE for the survivors.</w:t>
      </w:r>
    </w:p>
    <w:p>
      <w:pPr>
        <w:pStyle w:val="ListBullet"/>
      </w:pPr>
      <w:r>
        <w:rPr>
          <w:b/>
        </w:rPr>
        <w:t>Why JHI can win it:</w:t>
      </w:r>
      <w:r>
        <w:t xml:space="preserve"> Deal X-Ray (first-pass CIM read + normalized earnings), a CPA-partner QoE, a published/validated score, and a close pipeline — an end-to-end workflow no incumbent offers, at a transparent price ($50 / $299 / $1,500).</w:t>
      </w:r>
    </w:p>
    <w:p>
      <w:pPr>
        <w:pStyle w:val="ListBullet"/>
      </w:pPr>
      <w:r>
        <w:rPr>
          <w:b/>
        </w:rPr>
        <w:t>Trust wedge:</w:t>
      </w:r>
      <w:r>
        <w:t xml:space="preserve"> publish methodology and IC/t-stats, and disclose limits — the opposite of the incumbents’ black-box scores.</w:t>
      </w:r>
    </w:p>
    <w:p>
      <w:pPr>
        <w:pStyle w:val="Heading1"/>
      </w:pPr>
      <w:r>
        <w:rPr>
          <w:color w:val="0C1F33"/>
        </w:rPr>
        <w:t>6. Cost / Risk / Reward Assessment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C1F33"/>
          </w:tcPr>
          <w:p>
            <w:r/>
            <w:r>
              <w:rPr>
                <w:b/>
                <w:color w:val="FFFFFF"/>
                <w:sz w:val="18"/>
              </w:rPr>
              <w:t>Dimension</w:t>
            </w:r>
          </w:p>
        </w:tc>
        <w:tc>
          <w:tcPr>
            <w:tcW w:type="dxa" w:w="4320"/>
            <w:shd w:val="clear" w:fill="0C1F33"/>
          </w:tcPr>
          <w:p>
            <w:r/>
            <w:r>
              <w:rPr>
                <w:b/>
                <w:color w:val="FFFFFF"/>
                <w:sz w:val="18"/>
              </w:rPr>
              <w:t>Assessment</w:t>
            </w:r>
          </w:p>
        </w:tc>
      </w:tr>
      <w:tr>
        <w:tc>
          <w:tcPr>
            <w:tcW w:type="dxa" w:w="4320"/>
          </w:tcPr>
          <w:p>
            <w:r/>
            <w:r>
              <w:rPr>
                <w:b w:val="0"/>
                <w:sz w:val="18"/>
              </w:rPr>
              <w:t>Cost to build/serve</w:t>
            </w:r>
          </w:p>
        </w:tc>
        <w:tc>
          <w:tcPr>
            <w:tcW w:type="dxa" w:w="4320"/>
          </w:tcPr>
          <w:p>
            <w:r/>
            <w:r>
              <w:rPr>
                <w:b w:val="0"/>
                <w:sz w:val="18"/>
              </w:rPr>
              <w:t>Incremental. Core workflow largely built. Main run-rate: SF1 data license (~$18k/yr), cloud/AI infra, and a CPA-partner network (revenue-share, not fixed).</w:t>
            </w:r>
          </w:p>
        </w:tc>
      </w:tr>
      <w:tr>
        <w:tc>
          <w:tcPr>
            <w:tcW w:type="dxa" w:w="4320"/>
          </w:tcPr>
          <w:p>
            <w:r/>
            <w:r>
              <w:rPr>
                <w:b w:val="0"/>
                <w:sz w:val="18"/>
              </w:rPr>
              <w:t>Risk — data rights</w:t>
            </w:r>
          </w:p>
        </w:tc>
        <w:tc>
          <w:tcPr>
            <w:tcW w:type="dxa" w:w="4320"/>
          </w:tcPr>
          <w:p>
            <w:r/>
            <w:r>
              <w:rPr>
                <w:b w:val="0"/>
                <w:sz w:val="18"/>
              </w:rPr>
              <w:t>NASDAQ/Sharadar derived-data distribution rights are not yet confirmed (addendum pending, sign-by ~05-Aug-26). Gating for client-facing score serving.</w:t>
            </w:r>
          </w:p>
        </w:tc>
      </w:tr>
      <w:tr>
        <w:tc>
          <w:tcPr>
            <w:tcW w:type="dxa" w:w="4320"/>
          </w:tcPr>
          <w:p>
            <w:r/>
            <w:r>
              <w:rPr>
                <w:b w:val="0"/>
                <w:sz w:val="18"/>
              </w:rPr>
              <w:t>Risk — validation</w:t>
            </w:r>
          </w:p>
        </w:tc>
        <w:tc>
          <w:tcPr>
            <w:tcW w:type="dxa" w:w="4320"/>
          </w:tcPr>
          <w:p>
            <w:r/>
            <w:r>
              <w:rPr>
                <w:b w:val="0"/>
                <w:sz w:val="18"/>
              </w:rPr>
              <w:t>The Opportunity/Deal Score is not yet validated (H5 currently FAIL on price-only factors). Serving a score we cannot defend is a trust and liability risk.</w:t>
            </w:r>
          </w:p>
        </w:tc>
      </w:tr>
      <w:tr>
        <w:tc>
          <w:tcPr>
            <w:tcW w:type="dxa" w:w="4320"/>
          </w:tcPr>
          <w:p>
            <w:r/>
            <w:r>
              <w:rPr>
                <w:b w:val="0"/>
                <w:sz w:val="18"/>
              </w:rPr>
              <w:t>Risk — competitive</w:t>
            </w:r>
          </w:p>
        </w:tc>
        <w:tc>
          <w:tcPr>
            <w:tcW w:type="dxa" w:w="4320"/>
          </w:tcPr>
          <w:p>
            <w:r/>
            <w:r>
              <w:rPr>
                <w:b w:val="0"/>
                <w:sz w:val="18"/>
              </w:rPr>
              <w:t>Incumbents could move down-market; but their cost structure and enterprise DNA make a credible SMB self-serve product unlikely near-term.</w:t>
            </w:r>
          </w:p>
        </w:tc>
      </w:tr>
      <w:tr>
        <w:tc>
          <w:tcPr>
            <w:tcW w:type="dxa" w:w="4320"/>
          </w:tcPr>
          <w:p>
            <w:r/>
            <w:r>
              <w:rPr>
                <w:b w:val="0"/>
                <w:sz w:val="18"/>
              </w:rPr>
              <w:t>Risk — positioning</w:t>
            </w:r>
          </w:p>
        </w:tc>
        <w:tc>
          <w:tcPr>
            <w:tcW w:type="dxa" w:w="4320"/>
          </w:tcPr>
          <w:p>
            <w:r/>
            <w:r>
              <w:rPr>
                <w:b w:val="0"/>
                <w:sz w:val="18"/>
              </w:rPr>
              <w:t>Must stay research/decision-support (software/data publisher, NAICS 513210), not investment advice or brokerage. Keep compliance framing tight.</w:t>
            </w:r>
          </w:p>
        </w:tc>
      </w:tr>
      <w:tr>
        <w:tc>
          <w:tcPr>
            <w:tcW w:type="dxa" w:w="4320"/>
          </w:tcPr>
          <w:p>
            <w:r/>
            <w:r>
              <w:rPr>
                <w:b w:val="0"/>
                <w:sz w:val="18"/>
              </w:rPr>
              <w:t>Reward</w:t>
            </w:r>
          </w:p>
        </w:tc>
        <w:tc>
          <w:tcPr>
            <w:tcW w:type="dxa" w:w="4320"/>
          </w:tcPr>
          <w:p>
            <w:r/>
            <w:r>
              <w:rPr>
                <w:b w:val="0"/>
                <w:sz w:val="18"/>
              </w:rPr>
              <w:t>Underserved, growing ETA/search-fund + SMB M&amp;A segment; pricing power via transparency; a defensible end-to-end moat; and a small data-network effect from labeled deal outcomes over time.</w:t>
            </w:r>
          </w:p>
        </w:tc>
      </w:tr>
      <w:tr>
        <w:tc>
          <w:tcPr>
            <w:tcW w:type="dxa" w:w="4320"/>
          </w:tcPr>
          <w:p>
            <w:r/>
            <w:r>
              <w:rPr>
                <w:b w:val="0"/>
                <w:sz w:val="18"/>
              </w:rPr>
              <w:t>Risk-adjusted verdict</w:t>
            </w:r>
          </w:p>
        </w:tc>
        <w:tc>
          <w:tcPr>
            <w:tcW w:type="dxa" w:w="4320"/>
          </w:tcPr>
          <w:p>
            <w:r/>
            <w:r>
              <w:rPr>
                <w:b w:val="0"/>
                <w:sz w:val="18"/>
              </w:rPr>
              <w:t>WATCH → GO on a narrow beachhead, conditional on score validation + data rights + lean cost. High reward relative to modest incremental cost.</w:t>
            </w:r>
          </w:p>
        </w:tc>
      </w:tr>
    </w:tbl>
    <w:p>
      <w:pPr>
        <w:pStyle w:val="Heading1"/>
      </w:pPr>
      <w:r>
        <w:rPr>
          <w:color w:val="0C1F33"/>
        </w:rPr>
        <w:t>7. Recommendation to the Board</w:t>
      </w:r>
    </w:p>
    <w:p>
      <w:pPr>
        <w:pStyle w:val="ListBullet"/>
      </w:pPr>
      <w:r>
        <w:rPr>
          <w:b/>
        </w:rPr>
        <w:t>Proceed — conditionally.</w:t>
      </w:r>
      <w:r>
        <w:t xml:space="preserve"> Pursue the SMB/search-fund diligence wedge as the beachhead; do not chase incumbent data breadth.</w:t>
      </w:r>
    </w:p>
    <w:p>
      <w:pPr>
        <w:pStyle w:val="ListBullet"/>
      </w:pPr>
      <w:r>
        <w:rPr>
          <w:b/>
        </w:rPr>
        <w:t>Gate on validation.</w:t>
      </w:r>
      <w:r>
        <w:t xml:space="preserve"> Do not market the score as predictive until it clears the pre-registered bar; keep publishing results (including FAILs) as a differentiator.</w:t>
      </w:r>
    </w:p>
    <w:p>
      <w:pPr>
        <w:pStyle w:val="ListBullet"/>
      </w:pPr>
      <w:r>
        <w:rPr>
          <w:b/>
        </w:rPr>
        <w:t>Secure data rights first.</w:t>
      </w:r>
      <w:r>
        <w:t xml:space="preserve"> Close the NASDAQ/Sharadar derived-data addendum before any client-facing score serving.</w:t>
      </w:r>
    </w:p>
    <w:p>
      <w:pPr>
        <w:pStyle w:val="ListBullet"/>
      </w:pPr>
      <w:r>
        <w:rPr>
          <w:b/>
        </w:rPr>
        <w:t>Emulate the mechanics, not the look:</w:t>
      </w:r>
      <w:r>
        <w:t xml:space="preserve"> CB Insights’ content flywheel, Morningstar-style published methodology, Mergr’s transparency, and the incumbents’ export/workflow lock-in (interactive Excel/PDF).</w:t>
      </w:r>
    </w:p>
    <w:p>
      <w:pPr>
        <w:pStyle w:val="ListBullet"/>
      </w:pPr>
      <w:r>
        <w:rPr>
          <w:b/>
        </w:rPr>
        <w:t>Keep it lean.</w:t>
      </w:r>
      <w:r>
        <w:t xml:space="preserve"> Hold run-rate near the current base until the score validates and the beachhead shows pull.</w:t>
      </w:r>
    </w:p>
    <w:p>
      <w:pPr>
        <w:pStyle w:val="Heading2"/>
      </w:pPr>
      <w:r>
        <w:rPr>
          <w:color w:val="0C1F33"/>
        </w:rPr>
        <w:t>Proposed board resolution (for minutes)</w:t>
      </w:r>
    </w:p>
    <w:p>
      <w:r>
        <w:rPr>
          <w:i/>
        </w:rPr>
        <w:t>RESOLVED, that management pursue the SMB / lower-middle-market diligence wedge identified in this audit as the Company’s competitive beachhead; that no predictive claim be made for the Opportunity/Deal Score until it clears the pre-registered validation bar; that the NASDAQ/Sharadar derived-data distribution rights be secured before client-facing score serving; and that operating run-rate be held lean pending validation and demonstrated market pull. A live-trial teardown pass to verify all pricing/coverage estimates herein is authorized.</w:t>
      </w:r>
    </w:p>
    <w:p>
      <w:pPr>
        <w:pStyle w:val="Heading1"/>
      </w:pPr>
      <w:r>
        <w:rPr>
          <w:color w:val="0C1F33"/>
        </w:rPr>
        <w:t>8. Verified Pricing &amp; Sources (public, as of 2026-07-12)</w:t>
      </w:r>
    </w:p>
    <w:p>
      <w:r>
        <w:t>Pricing below is verified against current public pages and third-party procurement data (Vendr, Capchase) rather than a paid trial. Mergr publishes a list price; S&amp;P and CB Insights do not, so their figures are sourced third-party estimates and procurement medians.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0C1F33"/>
          </w:tcPr>
          <w:p>
            <w:r/>
            <w:r>
              <w:rPr>
                <w:b/>
                <w:color w:val="FFFFFF"/>
                <w:sz w:val="18"/>
              </w:rPr>
              <w:t>Platform</w:t>
            </w:r>
          </w:p>
        </w:tc>
        <w:tc>
          <w:tcPr>
            <w:tcW w:type="dxa" w:w="1728"/>
            <w:shd w:val="clear" w:fill="0C1F33"/>
          </w:tcPr>
          <w:p>
            <w:r/>
            <w:r>
              <w:rPr>
                <w:b/>
                <w:color w:val="FFFFFF"/>
                <w:sz w:val="18"/>
              </w:rPr>
              <w:t>Public list?</w:t>
            </w:r>
          </w:p>
        </w:tc>
        <w:tc>
          <w:tcPr>
            <w:tcW w:type="dxa" w:w="1728"/>
            <w:shd w:val="clear" w:fill="0C1F33"/>
          </w:tcPr>
          <w:p>
            <w:r/>
            <w:r>
              <w:rPr>
                <w:b/>
                <w:color w:val="FFFFFF"/>
                <w:sz w:val="18"/>
              </w:rPr>
              <w:t>Entry / typical</w:t>
            </w:r>
          </w:p>
        </w:tc>
        <w:tc>
          <w:tcPr>
            <w:tcW w:type="dxa" w:w="1728"/>
            <w:shd w:val="clear" w:fill="0C1F33"/>
          </w:tcPr>
          <w:p>
            <w:r/>
            <w:r>
              <w:rPr>
                <w:b/>
                <w:color w:val="FFFFFF"/>
                <w:sz w:val="18"/>
              </w:rPr>
              <w:t>Enterprise / high end</w:t>
            </w:r>
          </w:p>
        </w:tc>
        <w:tc>
          <w:tcPr>
            <w:tcW w:type="dxa" w:w="1728"/>
            <w:shd w:val="clear" w:fill="0C1F33"/>
          </w:tcPr>
          <w:p>
            <w:r/>
            <w:r>
              <w:rPr>
                <w:b/>
                <w:color w:val="FFFFFF"/>
                <w:sz w:val="18"/>
              </w:rPr>
              <w:t>Trial</w:t>
            </w:r>
          </w:p>
        </w:tc>
      </w:tr>
      <w:tr>
        <w:tc>
          <w:tcPr>
            <w:tcW w:type="dxa" w:w="1728"/>
          </w:tcPr>
          <w:p>
            <w:r/>
            <w:r>
              <w:rPr>
                <w:b/>
                <w:sz w:val="18"/>
              </w:rPr>
              <w:t>Mergr</w:t>
            </w:r>
          </w:p>
        </w:tc>
        <w:tc>
          <w:tcPr>
            <w:tcW w:type="dxa" w:w="1728"/>
          </w:tcPr>
          <w:p>
            <w:r/>
            <w:r>
              <w:rPr>
                <w:b w:val="0"/>
                <w:sz w:val="18"/>
              </w:rPr>
              <w:t>Yes</w:t>
            </w:r>
          </w:p>
        </w:tc>
        <w:tc>
          <w:tcPr>
            <w:tcW w:type="dxa" w:w="1728"/>
          </w:tcPr>
          <w:p>
            <w:r/>
            <w:r>
              <w:rPr>
                <w:b w:val="0"/>
                <w:sz w:val="18"/>
              </w:rPr>
              <w:t>$150/mo (~$1,800/yr) + $100/seat</w:t>
            </w:r>
          </w:p>
        </w:tc>
        <w:tc>
          <w:tcPr>
            <w:tcW w:type="dxa" w:w="1728"/>
          </w:tcPr>
          <w:p>
            <w:r/>
            <w:r>
              <w:rPr>
                <w:b w:val="0"/>
                <w:sz w:val="18"/>
              </w:rPr>
              <w:t>Custom, 10+ seats</w:t>
            </w:r>
          </w:p>
        </w:tc>
        <w:tc>
          <w:tcPr>
            <w:tcW w:type="dxa" w:w="1728"/>
          </w:tcPr>
          <w:p>
            <w:r/>
            <w:r>
              <w:rPr>
                <w:b w:val="0"/>
                <w:sz w:val="18"/>
              </w:rPr>
              <w:t>7-day self-serve</w:t>
            </w:r>
          </w:p>
        </w:tc>
      </w:tr>
      <w:tr>
        <w:tc>
          <w:tcPr>
            <w:tcW w:type="dxa" w:w="1728"/>
          </w:tcPr>
          <w:p>
            <w:r/>
            <w:r>
              <w:rPr>
                <w:b/>
                <w:sz w:val="18"/>
              </w:rPr>
              <w:t>S&amp;P Capital IQ Pro</w:t>
            </w:r>
          </w:p>
        </w:tc>
        <w:tc>
          <w:tcPr>
            <w:tcW w:type="dxa" w:w="1728"/>
          </w:tcPr>
          <w:p>
            <w:r/>
            <w:r>
              <w:rPr>
                <w:b w:val="0"/>
                <w:sz w:val="18"/>
              </w:rPr>
              <w:t>No</w:t>
            </w:r>
          </w:p>
        </w:tc>
        <w:tc>
          <w:tcPr>
            <w:tcW w:type="dxa" w:w="1728"/>
          </w:tcPr>
          <w:p>
            <w:r/>
            <w:r>
              <w:rPr>
                <w:b w:val="0"/>
                <w:sz w:val="18"/>
              </w:rPr>
              <w:t>~$12k–$25k/user/yr; org median ~$53k</w:t>
            </w:r>
          </w:p>
        </w:tc>
        <w:tc>
          <w:tcPr>
            <w:tcW w:type="dxa" w:w="1728"/>
          </w:tcPr>
          <w:p>
            <w:r/>
            <w:r>
              <w:rPr>
                <w:b w:val="0"/>
                <w:sz w:val="18"/>
              </w:rPr>
              <w:t>up to ~$215k+/yr; TCO ~+70%</w:t>
            </w:r>
          </w:p>
        </w:tc>
        <w:tc>
          <w:tcPr>
            <w:tcW w:type="dxa" w:w="1728"/>
          </w:tcPr>
          <w:p>
            <w:r/>
            <w:r>
              <w:rPr>
                <w:b w:val="0"/>
                <w:sz w:val="18"/>
              </w:rPr>
              <w:t>Sales demo</w:t>
            </w:r>
          </w:p>
        </w:tc>
      </w:tr>
      <w:tr>
        <w:tc>
          <w:tcPr>
            <w:tcW w:type="dxa" w:w="1728"/>
          </w:tcPr>
          <w:p>
            <w:r/>
            <w:r>
              <w:rPr>
                <w:b/>
                <w:sz w:val="18"/>
              </w:rPr>
              <w:t>CB Insights</w:t>
            </w:r>
          </w:p>
        </w:tc>
        <w:tc>
          <w:tcPr>
            <w:tcW w:type="dxa" w:w="1728"/>
          </w:tcPr>
          <w:p>
            <w:r/>
            <w:r>
              <w:rPr>
                <w:b w:val="0"/>
                <w:sz w:val="18"/>
              </w:rPr>
              <w:t>No</w:t>
            </w:r>
          </w:p>
        </w:tc>
        <w:tc>
          <w:tcPr>
            <w:tcW w:type="dxa" w:w="1728"/>
          </w:tcPr>
          <w:p>
            <w:r/>
            <w:r>
              <w:rPr>
                <w:b w:val="0"/>
                <w:sz w:val="18"/>
              </w:rPr>
              <w:t>median ~$47k/yr; typical ~$60k</w:t>
            </w:r>
          </w:p>
        </w:tc>
        <w:tc>
          <w:tcPr>
            <w:tcW w:type="dxa" w:w="1728"/>
          </w:tcPr>
          <w:p>
            <w:r/>
            <w:r>
              <w:rPr>
                <w:b w:val="0"/>
                <w:sz w:val="18"/>
              </w:rPr>
              <w:t>$120k–$265k+/yr</w:t>
            </w:r>
          </w:p>
        </w:tc>
        <w:tc>
          <w:tcPr>
            <w:tcW w:type="dxa" w:w="1728"/>
          </w:tcPr>
          <w:p>
            <w:r/>
            <w:r>
              <w:rPr>
                <w:b w:val="0"/>
                <w:sz w:val="18"/>
              </w:rPr>
              <w:t>10-day (on request); no self-serve</w:t>
            </w:r>
          </w:p>
        </w:tc>
      </w:tr>
    </w:tbl>
    <w:p>
      <w:r>
        <w:t>Sources (accessed for this pass):</w:t>
      </w:r>
    </w:p>
    <w:p>
      <w:pPr>
        <w:pStyle w:val="ListBullet"/>
      </w:pPr>
      <w:r>
        <w:rPr>
          <w:b/>
        </w:rPr>
        <w:t>Mergr:</w:t>
      </w:r>
      <w:r>
        <w:t xml:space="preserve"> mergr.com/pricing; docs.mergr.com (“PitchBook alternative”; seat add-ons); Fintalent listing.</w:t>
      </w:r>
    </w:p>
    <w:p>
      <w:pPr>
        <w:pStyle w:val="ListBullet"/>
      </w:pPr>
      <w:r>
        <w:rPr>
          <w:b/>
        </w:rPr>
        <w:t>S&amp;P Capital IQ Pro:</w:t>
      </w:r>
      <w:r>
        <w:t xml:space="preserve"> CostBench (Vendr procurement, 55 buys); Wall Street Prep (pricing overview); GeminIQ (per-tier estimates).</w:t>
      </w:r>
    </w:p>
    <w:p>
      <w:pPr>
        <w:pStyle w:val="ListBullet"/>
      </w:pPr>
      <w:r>
        <w:rPr>
          <w:b/>
        </w:rPr>
        <w:t>CB Insights:</w:t>
      </w:r>
      <w:r>
        <w:t xml:space="preserve"> EasyVC and Elevated Signal (Vendr/Capchase medians &amp; tiers); CostBench calculator; Prospeo (CB Insights vs. Crunchbase).</w:t>
      </w:r>
    </w:p>
    <w:p>
      <w:pPr>
        <w:pStyle w:val="Heading2"/>
      </w:pPr>
      <w:r>
        <w:rPr>
          <w:color w:val="0C1F33"/>
        </w:rPr>
        <w:t>What a true paid live-trial still adds (founder action)</w:t>
      </w:r>
    </w:p>
    <w:p>
      <w:pPr>
        <w:pStyle w:val="ListBullet"/>
      </w:pPr>
      <w:r>
        <w:rPr>
          <w:b/>
        </w:rPr>
        <w:t>Cheap &amp; fast:</w:t>
      </w:r>
      <w:r>
        <w:t xml:space="preserve"> Mergr is self-serve at $150/mo with a 7-day free trial — a real hands-on teardown is low-cost and immediate.</w:t>
      </w:r>
    </w:p>
    <w:p>
      <w:pPr>
        <w:pStyle w:val="ListBullet"/>
      </w:pPr>
      <w:r>
        <w:rPr>
          <w:b/>
        </w:rPr>
        <w:t>Gated:</w:t>
      </w:r>
      <w:r>
        <w:t xml:space="preserve"> S&amp;P Capital IQ Pro and CB Insights require sales demos (no self-serve); a paid eval needs a business email, a sales conversation, and likely a signed order — founder action.</w:t>
      </w:r>
    </w:p>
    <w:p>
      <w:pPr>
        <w:pStyle w:val="ListBullet"/>
      </w:pPr>
      <w:r>
        <w:rPr>
          <w:b/>
        </w:rPr>
        <w:t>What it adds:</w:t>
      </w:r>
      <w:r>
        <w:t xml:space="preserve"> the pricing above is already well-sourced for board triage; a paid trial firms up first-run funnel, workflow depth, and export/plumbing detail, plus first-hand churn/pain mining — not the price, which is settled here.</w:t>
      </w:r>
    </w:p>
    <w:p>
      <w:pPr>
        <w:pStyle w:val="Heading1"/>
      </w:pPr>
      <w:r>
        <w:rPr>
          <w:color w:val="0C1F33"/>
        </w:rPr>
        <w:t>9. Appendix — Sources, Ethics &amp; Disclaimers</w:t>
      </w:r>
    </w:p>
    <w:p>
      <w:pPr>
        <w:pStyle w:val="ListBullet"/>
      </w:pPr>
      <w:r>
        <w:rPr>
          <w:b/>
        </w:rPr>
        <w:t>Sources:</w:t>
      </w:r>
      <w:r>
        <w:t xml:space="preserve"> public product/pricing pages, third-party pricing intelligence, and public user reviews (e.g., G2, TrustRadius, Reddit, search-fund forums). Competitive intelligence gathered from public sources only.</w:t>
      </w:r>
    </w:p>
    <w:p>
      <w:pPr>
        <w:pStyle w:val="ListBullet"/>
      </w:pPr>
      <w:r>
        <w:rPr>
          <w:b/>
        </w:rPr>
        <w:t>Verification status:</w:t>
      </w:r>
      <w:r>
        <w:t xml:space="preserve"> pricing is verified against current public pages and third-party procurement data (see §8); S&amp;P and CB Insights do not publish list prices, so their figures are sourced estimates/medians. Coverage, UX, and plumbing depth still benefit from a paid hands-on trial before any public claim.</w:t>
      </w:r>
    </w:p>
    <w:p>
      <w:pPr>
        <w:pStyle w:val="ListBullet"/>
      </w:pPr>
      <w:r>
        <w:rPr>
          <w:b/>
        </w:rPr>
        <w:t>No affiliation:</w:t>
      </w:r>
      <w:r>
        <w:t xml:space="preserve"> JHI is not affiliated with, endorsed by, or partnered with Mergr, S&amp;P Global, or CB Insights. Marks belong to their respective owners.</w:t>
      </w:r>
    </w:p>
    <w:p>
      <w:pPr>
        <w:pStyle w:val="ListBullet"/>
      </w:pPr>
      <w:r>
        <w:rPr>
          <w:b/>
        </w:rPr>
        <w:t>Provenance:</w:t>
      </w:r>
      <w:r>
        <w:t xml:space="preserve"> founder signature of record JHI-SIG: 69M2705M. © 2026 JHI Research &amp; Analytics Firm, Inc.. All rights reserved. Confidential.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D"/>
        <w:sz w:val="16"/>
      </w:rPr>
      <w:t>© 2026 JHI Research &amp; Analytics Firm, Inc.  ·  JHI-SIG: 69M2705M  ·  Confidential — not for redistribution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