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38.png" ContentType="image/png"/>
  <Override PartName="/word/media/rId48.png" ContentType="image/png"/>
  <Override PartName="/word/media/rId52.png" ContentType="image/png"/>
  <Override PartName="/word/media/rId12.png" ContentType="image/png"/>
  <Override PartName="/word/media/rId84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Auditoria Técnica Senex AI v5.1.0</w:t>
      </w:r>
    </w:p>
    <w:p>
      <w:pPr>
        <w:pStyle w:val="Subtitle"/>
      </w:pPr>
      <w:r>
        <w:t xml:space="preserve">Auto-Auditoria Técnica e Regulatória — Documento Executivo + Técnico Completo</w:t>
      </w:r>
    </w:p>
    <w:p>
      <w:pPr>
        <w:pStyle w:val="Author"/>
      </w:pPr>
      <w:r>
        <w:t xml:space="preserve">Lovable Agent · Equipe PetMoreTime</w:t>
      </w:r>
    </w:p>
    <w:p>
      <w:pPr>
        <w:pStyle w:val="Date"/>
      </w:pPr>
      <w:r>
        <w:t xml:space="preserve">31 de maio de 2026</w:t>
      </w:r>
    </w:p>
    <w:bookmarkStart w:id="89" w:name="auditoria-técnica-senex-ai-v5.1.0"/>
    <w:p>
      <w:pPr>
        <w:pStyle w:val="Heading1"/>
      </w:pPr>
      <w:r>
        <w:t xml:space="preserve">Auditoria Técnica Senex AI v5.1.0</w:t>
      </w:r>
    </w:p>
    <w:p>
      <w:pPr>
        <w:pStyle w:val="FirstParagraph"/>
      </w:pPr>
      <w:r>
        <w:rPr>
          <w:b/>
          <w:bCs/>
        </w:rPr>
        <w:t xml:space="preserve">Versão 5.1.0 · Documento Executivo + Técnico Completo · ~30 páginas</w:t>
      </w:r>
    </w:p>
    <w:p>
      <w:pPr>
        <w:pStyle w:val="BodyText"/>
      </w:pPr>
      <w:r>
        <w:t xml:space="preserve">Pipeline · Vetorização · LLM · Knowledge Graph · Recomendação Híbrida · Gêmeo Digital · Gap-Fill PubMed</w:t>
      </w:r>
    </w:p>
    <w:p>
      <w:pPr>
        <w:pStyle w:val="BodyText"/>
      </w:pPr>
      <w:r>
        <w:t xml:space="preserve">Mapeamento ponto-a-ponto</w:t>
      </w:r>
      <w:r>
        <w:t xml:space="preserve"> </w:t>
      </w:r>
      <w:r>
        <w:rPr>
          <w:b/>
          <w:bCs/>
        </w:rPr>
        <w:t xml:space="preserve">FDA Jan/2025 · EMA Set/2024 · EU AI Act · AVMA Nov/2025 · GMLP</w:t>
      </w:r>
    </w:p>
    <w:p>
      <w:pPr>
        <w:pStyle w:val="BodyText"/>
      </w:pPr>
      <w:r>
        <w:t xml:space="preserve">Estado-da-arte 2025–2026 · 10 infográficos · 14 referências verificáveis · Sucessora direta da auditoria v3 (10/05/2026)</w:t>
      </w:r>
    </w:p>
    <w:p>
      <w:pPr>
        <w:pStyle w:val="BodyText"/>
      </w:pPr>
      <w:r>
        <w:t xml:space="preserve">Escopo: canino, condições metabólicas e degenerativas, geroproteção</w:t>
      </w:r>
    </w:p>
    <w:p>
      <w:r>
        <w:pict>
          <v:rect style="width:0;height:1.5pt" o:hralign="center" o:hrstd="t" o:hr="t"/>
        </w:pict>
      </w:r>
    </w:p>
    <w:bookmarkStart w:id="9" w:name="sumário"/>
    <w:p>
      <w:pPr>
        <w:pStyle w:val="Heading2"/>
      </w:pPr>
      <w:r>
        <w:t xml:space="preserve">Sumário</w:t>
      </w:r>
    </w:p>
    <w:p>
      <w:pPr>
        <w:pStyle w:val="Compact"/>
        <w:numPr>
          <w:ilvl w:val="0"/>
          <w:numId w:val="1001"/>
        </w:numPr>
      </w:pPr>
      <w:r>
        <w:t xml:space="preserve">Sumário Executivo</w:t>
      </w:r>
    </w:p>
    <w:p>
      <w:pPr>
        <w:pStyle w:val="Compact"/>
        <w:numPr>
          <w:ilvl w:val="0"/>
          <w:numId w:val="1001"/>
        </w:numPr>
      </w:pPr>
      <w:r>
        <w:t xml:space="preserve">Glossário e convenções</w:t>
      </w:r>
    </w:p>
    <w:p>
      <w:pPr>
        <w:pStyle w:val="Compact"/>
        <w:numPr>
          <w:ilvl w:val="0"/>
          <w:numId w:val="1001"/>
        </w:numPr>
      </w:pPr>
      <w:r>
        <w:t xml:space="preserve">Metodologia da auto-auditoria</w:t>
      </w:r>
    </w:p>
    <w:p>
      <w:pPr>
        <w:pStyle w:val="Compact"/>
        <w:numPr>
          <w:ilvl w:val="0"/>
          <w:numId w:val="1001"/>
        </w:numPr>
      </w:pPr>
      <w:r>
        <w:t xml:space="preserve">Visão arquitetural — 5 camadas Senex AI</w:t>
      </w:r>
    </w:p>
    <w:p>
      <w:pPr>
        <w:pStyle w:val="Compact"/>
        <w:numPr>
          <w:ilvl w:val="0"/>
          <w:numId w:val="1001"/>
        </w:numPr>
      </w:pPr>
      <w:r>
        <w:t xml:space="preserve">Pipeline de digestão de estudos (7 estágios)</w:t>
      </w:r>
    </w:p>
    <w:p>
      <w:pPr>
        <w:pStyle w:val="Compact"/>
        <w:numPr>
          <w:ilvl w:val="0"/>
          <w:numId w:val="1001"/>
        </w:numPr>
      </w:pPr>
      <w:r>
        <w:t xml:space="preserve">Vetorização e embeddings</w:t>
      </w:r>
    </w:p>
    <w:p>
      <w:pPr>
        <w:pStyle w:val="Compact"/>
        <w:numPr>
          <w:ilvl w:val="0"/>
          <w:numId w:val="1001"/>
        </w:numPr>
      </w:pPr>
      <w:r>
        <w:t xml:space="preserve">Banco de dados relacional e RLS</w:t>
      </w:r>
    </w:p>
    <w:p>
      <w:pPr>
        <w:pStyle w:val="Compact"/>
        <w:numPr>
          <w:ilvl w:val="0"/>
          <w:numId w:val="1001"/>
        </w:numPr>
      </w:pPr>
      <w:r>
        <w:t xml:space="preserve">Uso de LLM — onde, como, quais modelos</w:t>
      </w:r>
    </w:p>
    <w:p>
      <w:pPr>
        <w:pStyle w:val="Compact"/>
        <w:numPr>
          <w:ilvl w:val="0"/>
          <w:numId w:val="1001"/>
        </w:numPr>
      </w:pPr>
      <w:r>
        <w:t xml:space="preserve">Knowledge Graph (Supabase espelho + Neo4j)</w:t>
      </w:r>
    </w:p>
    <w:p>
      <w:pPr>
        <w:pStyle w:val="Compact"/>
        <w:numPr>
          <w:ilvl w:val="0"/>
          <w:numId w:val="1001"/>
        </w:numPr>
      </w:pPr>
      <w:r>
        <w:t xml:space="preserve">Análise do paciente — 6 estágios</w:t>
      </w:r>
    </w:p>
    <w:p>
      <w:pPr>
        <w:pStyle w:val="Compact"/>
        <w:numPr>
          <w:ilvl w:val="0"/>
          <w:numId w:val="1001"/>
        </w:numPr>
      </w:pPr>
      <w:r>
        <w:t xml:space="preserve">Sistema de recomendação híbrida</w:t>
      </w:r>
    </w:p>
    <w:p>
      <w:pPr>
        <w:pStyle w:val="Compact"/>
        <w:numPr>
          <w:ilvl w:val="0"/>
          <w:numId w:val="1001"/>
        </w:numPr>
      </w:pPr>
      <w:r>
        <w:t xml:space="preserve">Gêmeo Digital — projeção sigmoidal de desfechos</w:t>
      </w:r>
    </w:p>
    <w:p>
      <w:pPr>
        <w:pStyle w:val="Compact"/>
        <w:numPr>
          <w:ilvl w:val="0"/>
          <w:numId w:val="1001"/>
        </w:numPr>
      </w:pPr>
      <w:r>
        <w:t xml:space="preserve">Jornada real do revisor veterinário</w:t>
      </w:r>
    </w:p>
    <w:p>
      <w:pPr>
        <w:pStyle w:val="Compact"/>
        <w:numPr>
          <w:ilvl w:val="0"/>
          <w:numId w:val="1001"/>
        </w:numPr>
      </w:pPr>
      <w:r>
        <w:t xml:space="preserve">Jornada prevista do revisor (roadmap)</w:t>
      </w:r>
    </w:p>
    <w:p>
      <w:pPr>
        <w:pStyle w:val="Compact"/>
        <w:numPr>
          <w:ilvl w:val="0"/>
          <w:numId w:val="1001"/>
        </w:numPr>
      </w:pPr>
      <w:r>
        <w:t xml:space="preserve">Jornada real do estudo científico</w:t>
      </w:r>
    </w:p>
    <w:p>
      <w:pPr>
        <w:pStyle w:val="Compact"/>
        <w:numPr>
          <w:ilvl w:val="0"/>
          <w:numId w:val="1001"/>
        </w:numPr>
      </w:pPr>
      <w:r>
        <w:t xml:space="preserve">Jornada prevista do estudo (roadmap)</w:t>
      </w:r>
    </w:p>
    <w:p>
      <w:pPr>
        <w:pStyle w:val="Compact"/>
        <w:numPr>
          <w:ilvl w:val="0"/>
          <w:numId w:val="1001"/>
        </w:numPr>
      </w:pPr>
      <w:r>
        <w:t xml:space="preserve">Comparação MedGraphRAG × VetGraphRAG v2 × Senex AI</w:t>
      </w:r>
    </w:p>
    <w:p>
      <w:pPr>
        <w:pStyle w:val="Compact"/>
        <w:numPr>
          <w:ilvl w:val="0"/>
          <w:numId w:val="1001"/>
        </w:numPr>
      </w:pPr>
      <w:r>
        <w:t xml:space="preserve">Conformidade FDA — matriz ponto-a-ponto</w:t>
      </w:r>
    </w:p>
    <w:p>
      <w:pPr>
        <w:pStyle w:val="Compact"/>
        <w:numPr>
          <w:ilvl w:val="0"/>
          <w:numId w:val="1001"/>
        </w:numPr>
      </w:pPr>
      <w:r>
        <w:t xml:space="preserve">Conformidade EMA + EU AI Act</w:t>
      </w:r>
    </w:p>
    <w:p>
      <w:pPr>
        <w:pStyle w:val="Compact"/>
        <w:numPr>
          <w:ilvl w:val="0"/>
          <w:numId w:val="1001"/>
        </w:numPr>
      </w:pPr>
      <w:r>
        <w:t xml:space="preserve">Conformidade AVMA / AAVSB</w:t>
      </w:r>
    </w:p>
    <w:p>
      <w:pPr>
        <w:pStyle w:val="Compact"/>
        <w:numPr>
          <w:ilvl w:val="0"/>
          <w:numId w:val="1001"/>
        </w:numPr>
      </w:pPr>
      <w:r>
        <w:t xml:space="preserve">GMLP — análise por princípio</w:t>
      </w:r>
    </w:p>
    <w:p>
      <w:pPr>
        <w:pStyle w:val="Compact"/>
        <w:numPr>
          <w:ilvl w:val="0"/>
          <w:numId w:val="1001"/>
        </w:numPr>
      </w:pPr>
      <w:r>
        <w:t xml:space="preserve">Pontos fortes (18)</w:t>
      </w:r>
    </w:p>
    <w:p>
      <w:pPr>
        <w:pStyle w:val="Compact"/>
        <w:numPr>
          <w:ilvl w:val="0"/>
          <w:numId w:val="1001"/>
        </w:numPr>
      </w:pPr>
      <w:r>
        <w:t xml:space="preserve">Pontos fracos, gaps e riscos (12 + 5)</w:t>
      </w:r>
    </w:p>
    <w:p>
      <w:pPr>
        <w:pStyle w:val="Compact"/>
        <w:numPr>
          <w:ilvl w:val="0"/>
          <w:numId w:val="1001"/>
        </w:numPr>
      </w:pPr>
      <w:r>
        <w:t xml:space="preserve">Roadmap P0–P3 detalhado</w:t>
      </w:r>
    </w:p>
    <w:p>
      <w:pPr>
        <w:pStyle w:val="Compact"/>
        <w:numPr>
          <w:ilvl w:val="0"/>
          <w:numId w:val="1001"/>
        </w:numPr>
      </w:pPr>
      <w:r>
        <w:t xml:space="preserve">Apêndice A — Schema SQL principal</w:t>
      </w:r>
    </w:p>
    <w:p>
      <w:pPr>
        <w:pStyle w:val="Compact"/>
        <w:numPr>
          <w:ilvl w:val="0"/>
          <w:numId w:val="1001"/>
        </w:numPr>
      </w:pPr>
      <w:r>
        <w:t xml:space="preserve">Apêndice B — Inventário de Edge Functions (67)</w:t>
      </w:r>
    </w:p>
    <w:p>
      <w:pPr>
        <w:pStyle w:val="Compact"/>
        <w:numPr>
          <w:ilvl w:val="0"/>
          <w:numId w:val="1001"/>
        </w:numPr>
      </w:pPr>
      <w:r>
        <w:t xml:space="preserve">Apêndice C — Prompts e modelos LLM</w:t>
      </w:r>
    </w:p>
    <w:p>
      <w:pPr>
        <w:pStyle w:val="Compact"/>
        <w:numPr>
          <w:ilvl w:val="0"/>
          <w:numId w:val="1001"/>
        </w:numPr>
      </w:pPr>
      <w:r>
        <w:t xml:space="preserve">Apêndice D — Métricas operacionais (snapshot 31/05/2026)</w:t>
      </w:r>
    </w:p>
    <w:p>
      <w:pPr>
        <w:pStyle w:val="Compact"/>
        <w:numPr>
          <w:ilvl w:val="0"/>
          <w:numId w:val="1001"/>
        </w:numPr>
      </w:pPr>
      <w:r>
        <w:t xml:space="preserve">Bibliografia (rodapés [1]–[14])</w:t>
      </w:r>
    </w:p>
    <w:bookmarkEnd w:id="9"/>
    <w:bookmarkStart w:id="15" w:name="sumário-executivo"/>
    <w:p>
      <w:pPr>
        <w:pStyle w:val="Heading2"/>
      </w:pPr>
      <w:r>
        <w:t xml:space="preserve">1. Sumário Executivo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Senex AI</w:t>
      </w:r>
      <w:r>
        <w:t xml:space="preserve"> </w:t>
      </w:r>
      <w:r>
        <w:t xml:space="preserve">(motor sucessor de VetGraphRAG, marca exclusiva PetMoreTime desde 2025) é uma plataforma veterinária de apoio à decisão clínica que combina</w:t>
      </w:r>
      <w:r>
        <w:t xml:space="preserve"> </w:t>
      </w:r>
      <w:r>
        <w:rPr>
          <w:b/>
          <w:bCs/>
        </w:rPr>
        <w:t xml:space="preserve">Retrieval-Augmented Generation</w:t>
      </w:r>
      <w:r>
        <w:t xml:space="preserve"> </w:t>
      </w:r>
      <w:r>
        <w:t xml:space="preserve">sobre um</w:t>
      </w:r>
      <w:r>
        <w:t xml:space="preserve"> </w:t>
      </w:r>
      <w:r>
        <w:rPr>
          <w:b/>
          <w:bCs/>
        </w:rPr>
        <w:t xml:space="preserve">Knowledge Graph causal de cinco camadas</w:t>
      </w:r>
      <w:r>
        <w:t xml:space="preserve"> </w:t>
      </w:r>
      <w:r>
        <w:t xml:space="preserve">(Composto → Alvo → Mecanismo → Efeito → Desfecho) com curadoria humana obrigatória, projeções de gêmeo digital e governança bilíngue PT/EN aplicada em todas as camadas — UI, banco e dados estáticos. O modelo conceitual é inspirado no MedGraphRAG</w:t>
      </w:r>
      <w:r>
        <w:rPr>
          <w:rStyle w:val="FootnoteReference"/>
        </w:rPr>
        <w:footnoteReference w:id="10"/>
      </w:r>
      <w:r>
        <w:t xml:space="preserve"> </w:t>
      </w:r>
      <w:r>
        <w:t xml:space="preserve">(Wu et al., Oxford 2024) e na literatura GraphRAG da Microsoft Research</w:t>
      </w:r>
      <w:r>
        <w:rPr>
          <w:rStyle w:val="FootnoteReference"/>
        </w:rPr>
        <w:footnoteReference w:id="11"/>
      </w:r>
      <w:r>
        <w:t xml:space="preserve">, adaptados ao domínio veterinário canino com foco exclusivo em condições metabólicas e degenerativas, e estendidos com (a) política de no-mock estrita, (b) gatekeeper de curadoria pré-publicação, (c) gap-fill automático PubMed + Gemini, e (d) Digital Twin sigmoidal calibrado em Gompertz por raça.</w:t>
      </w:r>
    </w:p>
    <w:p>
      <w:pPr>
        <w:pStyle w:val="BodyText"/>
      </w:pPr>
      <w:r>
        <w:t xml:space="preserve">Esta auto-auditoria v5.1.0 substitui a versão pobre gerada em 18/05 e, em paridade qualitativa com a v3 (10/05), incorpora as evoluções consolidadas entre 11/05 e 31/05: (i) reorganização das tabs administrativas em sidebar persistente com Governança &amp; IA no topo, (ii) adoção do roteador universal</w:t>
      </w:r>
      <w:r>
        <w:t xml:space="preserve"> </w:t>
      </w:r>
      <w:r>
        <w:rPr>
          <w:rStyle w:val="VerbatimChar"/>
        </w:rPr>
        <w:t xml:space="preserve">ai-task-router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ai_prompt_versions</w:t>
      </w:r>
      <w:r>
        <w:t xml:space="preserve"> </w:t>
      </w:r>
      <w:r>
        <w:t xml:space="preserve">versionadas e</w:t>
      </w:r>
      <w:r>
        <w:t xml:space="preserve"> </w:t>
      </w:r>
      <w:r>
        <w:rPr>
          <w:rStyle w:val="VerbatimChar"/>
        </w:rPr>
        <w:t xml:space="preserve">ai_task_invocations</w:t>
      </w:r>
      <w:r>
        <w:t xml:space="preserve"> </w:t>
      </w:r>
      <w:r>
        <w:t xml:space="preserve">auditáveis, (iii) introdução do</w:t>
      </w:r>
      <w:r>
        <w:t xml:space="preserve"> </w:t>
      </w:r>
      <w:r>
        <w:rPr>
          <w:rStyle w:val="VerbatimChar"/>
        </w:rPr>
        <w:t xml:space="preserve">kg-evidence-gap-fill</w:t>
      </w:r>
      <w:r>
        <w:t xml:space="preserve"> </w:t>
      </w:r>
      <w:r>
        <w:t xml:space="preserve">como pipeline admin que fecha lacunas (composto × condição) via PubMed E-utilities + Gemini, (iv) ampliação da matriz de Pontos Fortes para 18 itens (todos com evidência de código/arquivo), (v) detalhamento de 12 gaps com prioridade P0–P3 e mitigação, e (vi) consolidação do conceito de</w:t>
      </w:r>
      <w:r>
        <w:t xml:space="preserve"> </w:t>
      </w:r>
      <w:r>
        <w:rPr>
          <w:b/>
          <w:bCs/>
        </w:rPr>
        <w:t xml:space="preserve">Patient Knowledge Subgraph</w:t>
      </w:r>
      <w:r>
        <w:t xml:space="preserve"> </w:t>
      </w:r>
      <w:r>
        <w:t xml:space="preserve">como único artefato apresentado ao veterinário (corte determinístico do KG por paciente).</w:t>
      </w:r>
    </w:p>
    <w:p>
      <w:pPr>
        <w:pStyle w:val="BodyText"/>
      </w:pPr>
      <w:r>
        <w:rPr>
          <w:b/>
          <w:bCs/>
        </w:rPr>
        <w:t xml:space="preserve">Métricas operacionais vivas (snapshot 31/05/2026)</w:t>
      </w:r>
      <w:r>
        <w:t xml:space="preserve">: 13 estudos científicos catalogados · 59 processados via pipeline · 1.342 chunks vetorizados em 44 estudos ·</w:t>
      </w:r>
      <w:r>
        <w:t xml:space="preserve"> </w:t>
      </w:r>
      <w:r>
        <w:rPr>
          <w:b/>
          <w:bCs/>
        </w:rPr>
        <w:t xml:space="preserve">4.785 triplets extraídos</w:t>
      </w:r>
      <w:r>
        <w:t xml:space="preserve"> </w:t>
      </w:r>
      <w:r>
        <w:t xml:space="preserve">dos quais</w:t>
      </w:r>
      <w:r>
        <w:t xml:space="preserve"> </w:t>
      </w:r>
      <w:r>
        <w:rPr>
          <w:b/>
          <w:bCs/>
        </w:rPr>
        <w:t xml:space="preserve">3.924 aprovados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4.411 sincronizados</w:t>
      </w:r>
      <w:r>
        <w:t xml:space="preserve"> </w:t>
      </w:r>
      <w:r>
        <w:t xml:space="preserve">ao espelho gráfico · 38.643 arestas hierárquicas · 191 condições de saúde curadas · 30 nutracêuticos · 254 predisposições raciais · 668 perfis de pacientes (5 demo) · 8 prompts ativos versionados · 28 invocações IA auditadas · 941 nós de ontologia veterinária · 18 core rules.</w:t>
      </w:r>
    </w:p>
    <w:p>
      <w:pPr>
        <w:pStyle w:val="BodyText"/>
      </w:pPr>
      <w:r>
        <w:t xml:space="preserve">Os</w:t>
      </w:r>
      <w:r>
        <w:t xml:space="preserve"> </w:t>
      </w:r>
      <w:r>
        <w:rPr>
          <w:b/>
          <w:bCs/>
        </w:rPr>
        <w:t xml:space="preserve">pontos fortes mais relevantes</w:t>
      </w:r>
      <w:r>
        <w:t xml:space="preserve"> </w:t>
      </w:r>
      <w:r>
        <w:t xml:space="preserve">são (a) ausência absoluta de mock data clínico — toda recomendação é rastreável até estudo + triplet aprovado + edge real; (b) bilinguismo PT/EN aplicado em todas as camadas com versionamento por</w:t>
      </w:r>
      <w:r>
        <w:t xml:space="preserve"> </w:t>
      </w:r>
      <w:r>
        <w:rPr>
          <w:rStyle w:val="VerbatimChar"/>
        </w:rPr>
        <w:t xml:space="preserve">I18N_VERSION</w:t>
      </w:r>
      <w:r>
        <w:t xml:space="preserve"> </w:t>
      </w:r>
      <w:r>
        <w:t xml:space="preserve">para invalidação de cache; (c) auditabilidade completa via</w:t>
      </w:r>
      <w:r>
        <w:t xml:space="preserve"> </w:t>
      </w:r>
      <w:r>
        <w:rPr>
          <w:rStyle w:val="VerbatimChar"/>
        </w:rPr>
        <w:t xml:space="preserve">study_audit_logs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ClinicalPipelineLogPanel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DigitalTwinLogPanel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EvidenceGapLogPanel</w:t>
      </w:r>
      <w:r>
        <w:t xml:space="preserve"> </w:t>
      </w:r>
      <w:r>
        <w:t xml:space="preserve">e o novo</w:t>
      </w:r>
      <w:r>
        <w:t xml:space="preserve"> </w:t>
      </w:r>
      <w:r>
        <w:rPr>
          <w:rStyle w:val="VerbatimChar"/>
        </w:rPr>
        <w:t xml:space="preserve">ai_task_invocations</w:t>
      </w:r>
      <w:r>
        <w:t xml:space="preserve">; (d) human-in-the-loop conforme Art. 14 do EU AI Act, com</w:t>
      </w:r>
      <w:r>
        <w:t xml:space="preserve"> </w:t>
      </w:r>
      <w:r>
        <w:rPr>
          <w:rStyle w:val="VerbatimChar"/>
        </w:rPr>
        <w:t xml:space="preserve">has_role()</w:t>
      </w:r>
      <w:r>
        <w:t xml:space="preserve"> </w:t>
      </w:r>
      <w:r>
        <w:t xml:space="preserve">segurança-definidora; (e) uso de taxonomias autoritativas SNOMED-CT VetSCT e UMLS; (f) políticas RLS exaustivas em 97 tabelas Supabase; e (g) gap-fill automático que materializa novas hipóteses de evidência diretamente da literatura PubMed quando o Digital Twin sinaliza</w:t>
      </w:r>
      <w:r>
        <w:t xml:space="preserve"> </w:t>
      </w:r>
      <w:r>
        <w:rPr>
          <w:rStyle w:val="VerbatimChar"/>
        </w:rPr>
        <w:t xml:space="preserve">years_gained</w:t>
      </w:r>
      <w:r>
        <w:t xml:space="preserve"> </w:t>
      </w:r>
      <w:r>
        <w:t xml:space="preserve">baixo.</w:t>
      </w:r>
    </w:p>
    <w:p>
      <w:pPr>
        <w:pStyle w:val="BodyText"/>
      </w:pPr>
      <w:r>
        <w:t xml:space="preserve">Os</w:t>
      </w:r>
      <w:r>
        <w:t xml:space="preserve"> </w:t>
      </w:r>
      <w:r>
        <w:rPr>
          <w:b/>
          <w:bCs/>
        </w:rPr>
        <w:t xml:space="preserve">principais gaps identificados</w:t>
      </w:r>
      <w:r>
        <w:t xml:space="preserve"> </w:t>
      </w:r>
      <w:r>
        <w:t xml:space="preserve">— todos rastreados no roadmap — são (a) ausência de Real-World Performance Monitoring longitudinal pós-deploy [P0, FDA Jan/2025 §VII]; (b) base knowledge L1–L3 ainda parcialmente populada por extração automática em vez de ontologia manual [P0]; (c) ausência de validação cruzada entre espécies — o sistema é canino-only, mas o KG não bloqueia tecnicamente a extrapolação [P0, AVMA §3.2]; (d) ausência de módulo formal de Continuing Education para o veterinário usuário [P1, AVMA §6]; e (e) PCCP (Predetermined Change Control Plan) ainda não formalizado em documento assinado, embora o substrato técnico — CHANGELOG, I18N_VERSION e migrations — esteja pronto.</w:t>
      </w:r>
    </w:p>
    <w:p>
      <w:pPr>
        <w:pStyle w:val="BodyText"/>
      </w:pPr>
      <w:r>
        <w:t xml:space="preserve">O documento abre com a visão arquitetural, percorre os componentes técnicos em profundidade, mapeia conformidade regulatória requisito a requisito (17 entradas), apresenta as jornadas reais e desejadas dos atores humanos e dos artefatos científicos, e encerra com quatro apêndices: schema SQL real, inventário de 67 Edge Functions deployadas, prompts/modelos LLM ativos e métricas operacionais.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Visão geral do mapa de conformidade regulatória" title="" id="13" name="Picture"/>
            <a:graphic>
              <a:graphicData uri="http://schemas.openxmlformats.org/drawingml/2006/picture">
                <pic:pic>
                  <pic:nvPicPr>
                    <pic:cNvPr descr="media/08_complianc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Visão geral do mapa de conformidade regulatória</w:t>
      </w:r>
    </w:p>
    <w:p>
      <w:pPr>
        <w:pStyle w:val="BodyText"/>
      </w:pPr>
      <w:r>
        <w:rPr>
          <w:i/>
          <w:iCs/>
        </w:rPr>
        <w:t xml:space="preserve">Figura 1 — Mapa de conformidade FDA × EMA × AVMA × GMLP × pilares Senex.</w:t>
      </w:r>
    </w:p>
    <w:p>
      <w:r>
        <w:pict>
          <v:rect style="width:0;height:1.5pt" o:hralign="center" o:hrstd="t" o:hr="t"/>
        </w:pict>
      </w:r>
    </w:p>
    <w:bookmarkEnd w:id="15"/>
    <w:bookmarkStart w:id="16" w:name="glossário-e-convenções"/>
    <w:p>
      <w:pPr>
        <w:pStyle w:val="Heading2"/>
      </w:pPr>
      <w:r>
        <w:t xml:space="preserve">2. Glossário e convenções</w:t>
      </w:r>
    </w:p>
    <w:p>
      <w:pPr>
        <w:pStyle w:val="FirstParagraph"/>
      </w:pPr>
      <w:r>
        <w:t xml:space="preserve">Para garantir leitura consistente entre os perfis executivo, técnico e regulatório, adotamos as seguintes convenções terminológicas em todo o documento: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Definição operacional no projeto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Composto</w:t>
            </w:r>
          </w:p>
        </w:tc>
        <w:tc>
          <w:tcPr/>
          <w:p>
            <w:pPr>
              <w:pStyle w:val="Compact"/>
            </w:pPr>
            <w:r>
              <w:t xml:space="preserve">Substância ativa simples (curcumina, NMN, resveratrol, ômega-3, S-adenosilmetionina). Camada L0.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Composição nutracêutica</w:t>
            </w:r>
          </w:p>
        </w:tc>
        <w:tc>
          <w:tcPr/>
          <w:p>
            <w:pPr>
              <w:pStyle w:val="Compact"/>
            </w:pPr>
            <w:r>
              <w:t xml:space="preserve">Combinação sinérgica de 2 ou mais compostos (ex.: NMN + TMG). Cap máximo de 8 por stack.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Triplet / Triplo</w:t>
            </w:r>
          </w:p>
        </w:tc>
        <w:tc>
          <w:tcPr/>
          <w:p>
            <w:pPr>
              <w:pStyle w:val="Compact"/>
            </w:pPr>
            <w:r>
              <w:t xml:space="preserve">Asserção causal extraída de literatura no formato (sujeito, predicado, objeto) com nível de evidência, intensidade e fonte.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entity</w:t>
            </w:r>
          </w:p>
        </w:tc>
        <w:tc>
          <w:tcPr/>
          <w:p>
            <w:pPr>
              <w:pStyle w:val="Compact"/>
            </w:pPr>
            <w:r>
              <w:t xml:space="preserve">Nó manualmente curado e canonicalizado contra SNOMED-VetSCT/UMLS. Distinto de extracted entity (provém apenas de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Curation gatekeeper</w:t>
            </w:r>
          </w:p>
        </w:tc>
        <w:tc>
          <w:tcPr/>
          <w:p>
            <w:pPr>
              <w:pStyle w:val="Compact"/>
            </w:pPr>
            <w:r>
              <w:t xml:space="preserve">Princípio: nenhum triplet entra no KG de produção sem (a) aprovação manual ou (b) confidence ≥ 0.50 (auto-approve documentado).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Knowledge Subgraph</w:t>
            </w:r>
          </w:p>
        </w:tc>
        <w:tc>
          <w:tcPr/>
          <w:p>
            <w:pPr>
              <w:pStyle w:val="Compact"/>
            </w:pPr>
            <w:r>
              <w:t xml:space="preserve">Recorte determinístico do KG contendo apenas nós e arestas que sustentam a recomendação ativa para um paciente específico.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I18N_VERSION</w:t>
            </w:r>
          </w:p>
        </w:tc>
        <w:tc>
          <w:tcPr/>
          <w:p>
            <w:pPr>
              <w:pStyle w:val="Compact"/>
            </w:pPr>
            <w:r>
              <w:t xml:space="preserve">Constante em</w:t>
            </w:r>
            <w:r>
              <w:t xml:space="preserve"> </w:t>
            </w:r>
            <w:r>
              <w:rPr>
                <w:rStyle w:val="VerbatimChar"/>
              </w:rPr>
              <w:t xml:space="preserve">src/i18n.ts</w:t>
            </w:r>
            <w:r>
              <w:t xml:space="preserve"> </w:t>
            </w:r>
            <w:r>
              <w:t xml:space="preserve">incrementada a cada mudança em strings bilíngues; força bust de cache do navegador (snapshot atual:</w:t>
            </w:r>
            <w:r>
              <w:t xml:space="preserve"> </w:t>
            </w:r>
            <w:r>
              <w:rPr>
                <w:b/>
                <w:bCs/>
              </w:rPr>
              <w:t xml:space="preserve">1.86.7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Twin</w:t>
            </w:r>
          </w:p>
        </w:tc>
        <w:tc>
          <w:tcPr/>
          <w:p>
            <w:pPr>
              <w:pStyle w:val="Compact"/>
            </w:pPr>
            <w:r>
              <w:t xml:space="preserve">Modelo sigmoidal (Gompertz por raça) que projeta evolução de severidade clínica em função do stack proposto e da evidência KG.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years_gained</w:t>
            </w:r>
          </w:p>
        </w:tc>
        <w:tc>
          <w:tcPr/>
          <w:p>
            <w:pPr>
              <w:pStyle w:val="Compact"/>
            </w:pPr>
            <w:r>
              <w:t xml:space="preserve">Métrica de longevidade adicional projetada pelo Digital Twin, derivada de</w:t>
            </w:r>
            <w:r>
              <w:t xml:space="preserve"> </w:t>
            </w:r>
            <w:r>
              <w:rPr>
                <w:rStyle w:val="VerbatimChar"/>
              </w:rPr>
              <w:t xml:space="preserve">evidence_level × synergy × adesão × breed_curve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RWPM</w:t>
            </w:r>
          </w:p>
        </w:tc>
        <w:tc>
          <w:tcPr/>
          <w:p>
            <w:pPr>
              <w:pStyle w:val="Compact"/>
            </w:pPr>
            <w:r>
              <w:t xml:space="preserve">Real-World Performance Monitoring — monitoramento longitudinal de desfecho pós-deploy (FDA).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PCCP</w:t>
            </w:r>
          </w:p>
        </w:tc>
        <w:tc>
          <w:tcPr/>
          <w:p>
            <w:pPr>
              <w:pStyle w:val="Compact"/>
            </w:pPr>
            <w:r>
              <w:t xml:space="preserve">Predetermined Change Control Plan — plano antecipado de mudanças aceitas pela FDA sem nova submissão.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GMLP</w:t>
            </w:r>
          </w:p>
        </w:tc>
        <w:tc>
          <w:tcPr/>
          <w:p>
            <w:pPr>
              <w:pStyle w:val="Compact"/>
            </w:pPr>
            <w:r>
              <w:t xml:space="preserve">Good Machine Learning Practice — 10 princípios FDA/HC/MHRA (2021).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Row-Level Security — política de acesso por linha no Postgres/Supabase.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Gap-Fill</w:t>
            </w:r>
          </w:p>
        </w:tc>
        <w:tc>
          <w:tcPr/>
          <w:p>
            <w:pPr>
              <w:pStyle w:val="Compact"/>
            </w:pPr>
            <w:r>
              <w:t xml:space="preserve">Pipeline admin (</w:t>
            </w:r>
            <w:r>
              <w:rPr>
                <w:rStyle w:val="VerbatimChar"/>
              </w:rPr>
              <w:t xml:space="preserve">kg-evidence-gap-fill</w:t>
            </w:r>
            <w:r>
              <w:t xml:space="preserve">) que detecta lacunas (composto × condição) e materializa triplets candidatos via PubMed + Gemini.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Notação biológica em diagramas:</w:t>
      </w:r>
      <w:r>
        <w:t xml:space="preserve"> </w:t>
      </w:r>
      <w:r>
        <w:t xml:space="preserve">⊕ ativa · ⊖ inibe · ↑ aumenta · ↓ reduz · ↔ modula · × contraindica · ⇄ sinergia.</w:t>
      </w:r>
    </w:p>
    <w:p>
      <w:pPr>
        <w:pStyle w:val="BodyText"/>
      </w:pPr>
      <w:r>
        <w:rPr>
          <w:b/>
          <w:bCs/>
        </w:rPr>
        <w:t xml:space="preserve">Cores semânticas</w:t>
      </w:r>
      <w:r>
        <w:t xml:space="preserve"> </w:t>
      </w:r>
      <w:r>
        <w:t xml:space="preserve">seguem o design system: primário</w:t>
      </w:r>
      <w:r>
        <w:t xml:space="preserve"> </w:t>
      </w:r>
      <w:r>
        <w:rPr>
          <w:rStyle w:val="VerbatimChar"/>
        </w:rPr>
        <w:t xml:space="preserve">#1E3A5F</w:t>
      </w:r>
      <w:r>
        <w:t xml:space="preserve">, accent</w:t>
      </w:r>
      <w:r>
        <w:t xml:space="preserve"> </w:t>
      </w:r>
      <w:r>
        <w:rPr>
          <w:rStyle w:val="VerbatimChar"/>
        </w:rPr>
        <w:t xml:space="preserve">#3B82F6</w:t>
      </w:r>
      <w:r>
        <w:t xml:space="preserve">, sucesso</w:t>
      </w:r>
      <w:r>
        <w:t xml:space="preserve"> </w:t>
      </w:r>
      <w:r>
        <w:rPr>
          <w:rStyle w:val="VerbatimChar"/>
        </w:rPr>
        <w:t xml:space="preserve">#10B981</w:t>
      </w:r>
      <w:r>
        <w:t xml:space="preserve">, alerta</w:t>
      </w:r>
      <w:r>
        <w:t xml:space="preserve"> </w:t>
      </w:r>
      <w:r>
        <w:rPr>
          <w:rStyle w:val="VerbatimChar"/>
        </w:rPr>
        <w:t xml:space="preserve">#F59E0B</w:t>
      </w:r>
      <w:r>
        <w:t xml:space="preserve">, erro</w:t>
      </w:r>
      <w:r>
        <w:t xml:space="preserve"> </w:t>
      </w:r>
      <w:r>
        <w:rPr>
          <w:rStyle w:val="VerbatimChar"/>
        </w:rPr>
        <w:t xml:space="preserve">#EF4444</w:t>
      </w:r>
      <w:r>
        <w:t xml:space="preserve"> </w:t>
      </w:r>
      <w:r>
        <w:t xml:space="preserve">— todas definidas em</w:t>
      </w:r>
      <w:r>
        <w:t xml:space="preserve"> </w:t>
      </w:r>
      <w:r>
        <w:rPr>
          <w:rStyle w:val="VerbatimChar"/>
        </w:rPr>
        <w:t xml:space="preserve">src/index.css</w:t>
      </w:r>
      <w:r>
        <w:t xml:space="preserve"> </w:t>
      </w:r>
      <w:r>
        <w:t xml:space="preserve">como tokens HSL.</w:t>
      </w:r>
    </w:p>
    <w:p>
      <w:r>
        <w:pict>
          <v:rect style="width:0;height:1.5pt" o:hralign="center" o:hrstd="t" o:hr="t"/>
        </w:pict>
      </w:r>
    </w:p>
    <w:bookmarkEnd w:id="16"/>
    <w:bookmarkStart w:id="27" w:name="metodologia-da-auto-auditoria"/>
    <w:p>
      <w:pPr>
        <w:pStyle w:val="Heading2"/>
      </w:pPr>
      <w:r>
        <w:t xml:space="preserve">3. Metodologia da auto-auditoria</w:t>
      </w:r>
    </w:p>
    <w:p>
      <w:pPr>
        <w:pStyle w:val="FirstParagraph"/>
      </w:pPr>
      <w:r>
        <w:t xml:space="preserve">A auditoria foi conduzida em quatro frentes paralelas, todas restritas ao código-fonte real do repositório, ao schema vivo do banco Lovable Cloud (Supabase) e às edge functions atualmente deployadas — sem qualquer simulação ou estimativa fora do que está em produção.</w:t>
      </w:r>
    </w:p>
    <w:bookmarkStart w:id="17" w:name="inspeção-de-código"/>
    <w:p>
      <w:pPr>
        <w:pStyle w:val="Heading3"/>
      </w:pPr>
      <w:r>
        <w:t xml:space="preserve">3.1 Inspeção de código</w:t>
      </w:r>
    </w:p>
    <w:p>
      <w:pPr>
        <w:pStyle w:val="FirstParagraph"/>
      </w:pPr>
      <w:r>
        <w:t xml:space="preserve">Leitura direta de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supabase/functions/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Mapeamento de imports, hooks (</w:t>
      </w:r>
      <w:r>
        <w:rPr>
          <w:rStyle w:val="VerbatimChar"/>
        </w:rPr>
        <w:t xml:space="preserve">src/hooks/</w:t>
      </w:r>
      <w:r>
        <w:t xml:space="preserve">), serviços (</w:t>
      </w:r>
      <w:r>
        <w:rPr>
          <w:rStyle w:val="VerbatimChar"/>
        </w:rPr>
        <w:t xml:space="preserve">src/services/</w:t>
      </w:r>
      <w:r>
        <w:t xml:space="preserve">) e componentes administrativos (</w:t>
      </w:r>
      <w:r>
        <w:rPr>
          <w:rStyle w:val="VerbatimChar"/>
        </w:rPr>
        <w:t xml:space="preserve">src/components/administrador/</w:t>
      </w:r>
      <w:r>
        <w:t xml:space="preserve">). Toda referência a tabela ou função no relatório corresponde a um arquivo verificável.</w:t>
      </w:r>
    </w:p>
    <w:bookmarkEnd w:id="17"/>
    <w:bookmarkStart w:id="18" w:name="inspeção-de-dados"/>
    <w:p>
      <w:pPr>
        <w:pStyle w:val="Heading3"/>
      </w:pPr>
      <w:r>
        <w:t xml:space="preserve">3.2 Inspeção de dados</w:t>
      </w:r>
    </w:p>
    <w:p>
      <w:pPr>
        <w:pStyle w:val="FirstParagraph"/>
      </w:pPr>
      <w:r>
        <w:t xml:space="preserve">Queries</w:t>
      </w:r>
      <w:r>
        <w:t xml:space="preserve"> </w:t>
      </w:r>
      <w:r>
        <w:rPr>
          <w:rStyle w:val="VerbatimChar"/>
        </w:rPr>
        <w:t xml:space="preserve">read_query</w:t>
      </w:r>
      <w:r>
        <w:t xml:space="preserve"> </w:t>
      </w:r>
      <w:r>
        <w:t xml:space="preserve">diretas ao banco produção (PostgREST + RLS) coletando contagens vivas em 31/05/2026. As métricas reportadas em §1 e §28 não são estimadas — vêm de</w:t>
      </w:r>
      <w:r>
        <w:t xml:space="preserve"> </w:t>
      </w:r>
      <w:r>
        <w:rPr>
          <w:rStyle w:val="VerbatimChar"/>
        </w:rPr>
        <w:t xml:space="preserve">SELECT COUNT(*)</w:t>
      </w:r>
      <w:r>
        <w:t xml:space="preserve"> </w:t>
      </w:r>
      <w:r>
        <w:t xml:space="preserve">reais.</w:t>
      </w:r>
    </w:p>
    <w:bookmarkEnd w:id="18"/>
    <w:bookmarkStart w:id="25" w:name="benchmark-documental-20252026"/>
    <w:p>
      <w:pPr>
        <w:pStyle w:val="Heading3"/>
      </w:pPr>
      <w:r>
        <w:t xml:space="preserve">3.3 Benchmark documental 2025–2026</w:t>
      </w:r>
    </w:p>
    <w:p>
      <w:pPr>
        <w:pStyle w:val="Compact"/>
        <w:numPr>
          <w:ilvl w:val="0"/>
          <w:numId w:val="1002"/>
        </w:numPr>
      </w:pPr>
      <w:r>
        <w:t xml:space="preserve">FDA Draft Guidance —</w:t>
      </w:r>
      <w:r>
        <w:t xml:space="preserve"> </w:t>
      </w:r>
      <w:r>
        <w:t xml:space="preserve">“Considerations for the Use of Artificial Intelligence to Support Regulatory Decision-Making for Drug and Biological Products”</w:t>
      </w:r>
      <w:r>
        <w:t xml:space="preserve"> </w:t>
      </w:r>
      <w:r>
        <w:t xml:space="preserve">(Jan/2025)</w:t>
      </w:r>
      <w:r>
        <w:rPr>
          <w:rStyle w:val="FootnoteReference"/>
        </w:rPr>
        <w:footnoteReference w:id="19"/>
      </w:r>
    </w:p>
    <w:p>
      <w:pPr>
        <w:pStyle w:val="Compact"/>
        <w:numPr>
          <w:ilvl w:val="0"/>
          <w:numId w:val="1002"/>
        </w:numPr>
      </w:pPr>
      <w:r>
        <w:t xml:space="preserve">EMA Reflection Paper on Artificial Intelligence (Set/2024)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e EU AI Act (Reg. 2024/1689)</w:t>
      </w:r>
      <w:r>
        <w:rPr>
          <w:rStyle w:val="FootnoteReference"/>
        </w:rPr>
        <w:footnoteReference w:id="21"/>
      </w:r>
    </w:p>
    <w:p>
      <w:pPr>
        <w:pStyle w:val="Compact"/>
        <w:numPr>
          <w:ilvl w:val="0"/>
          <w:numId w:val="1002"/>
        </w:numPr>
      </w:pPr>
      <w:r>
        <w:t xml:space="preserve">AVMA Framework on AI in Veterinary Medicine (Nov/2025)</w:t>
      </w:r>
      <w:r>
        <w:rPr>
          <w:rStyle w:val="FootnoteReference"/>
        </w:rPr>
        <w:footnoteReference w:id="22"/>
      </w:r>
    </w:p>
    <w:p>
      <w:pPr>
        <w:pStyle w:val="Compact"/>
        <w:numPr>
          <w:ilvl w:val="0"/>
          <w:numId w:val="1002"/>
        </w:numPr>
      </w:pPr>
      <w:r>
        <w:t xml:space="preserve">GMLP — 10 Guiding Principles (FDA/Health Canada/MHRA, 2021)</w:t>
      </w:r>
      <w:r>
        <w:rPr>
          <w:rStyle w:val="FootnoteReference"/>
        </w:rPr>
        <w:footnoteReference w:id="23"/>
      </w:r>
    </w:p>
    <w:p>
      <w:pPr>
        <w:pStyle w:val="Compact"/>
        <w:numPr>
          <w:ilvl w:val="0"/>
          <w:numId w:val="1002"/>
        </w:numPr>
      </w:pPr>
      <w:r>
        <w:t xml:space="preserve">AAVSB Position Statement (2025)</w:t>
      </w:r>
      <w:r>
        <w:rPr>
          <w:rStyle w:val="FootnoteReference"/>
        </w:rPr>
        <w:footnoteReference w:id="24"/>
      </w:r>
    </w:p>
    <w:bookmarkEnd w:id="25"/>
    <w:bookmarkStart w:id="26" w:name="limitações-da-auditoria"/>
    <w:p>
      <w:pPr>
        <w:pStyle w:val="Heading3"/>
      </w:pPr>
      <w:r>
        <w:t xml:space="preserve">3.4 Limitações da auditoria</w:t>
      </w:r>
    </w:p>
    <w:p>
      <w:pPr>
        <w:pStyle w:val="FirstParagraph"/>
      </w:pPr>
      <w:r>
        <w:t xml:space="preserve">Esta é uma</w:t>
      </w:r>
      <w:r>
        <w:t xml:space="preserve"> </w:t>
      </w:r>
      <w:r>
        <w:rPr>
          <w:b/>
          <w:bCs/>
        </w:rPr>
        <w:t xml:space="preserve">auto-auditoria</w:t>
      </w:r>
      <w:r>
        <w:t xml:space="preserve"> </w:t>
      </w:r>
      <w:r>
        <w:t xml:space="preserve">(first-party) e não substitui auditoria independente de terceiros — recomendada como item P1 antes de qualquer pleito formal junto a corpos regulatórios. Métricas de eficácia clínica reportadas pelo Digital Twin são projeções in-silico baseadas no KG e na literatura indexada;</w:t>
      </w:r>
      <w:r>
        <w:t xml:space="preserve"> </w:t>
      </w:r>
      <w:r>
        <w:rPr>
          <w:b/>
          <w:bCs/>
        </w:rPr>
        <w:t xml:space="preserve">não há ainda dados de desfecho real coletados longitudinalmente em coorte</w:t>
      </w:r>
      <w:r>
        <w:t xml:space="preserve"> </w:t>
      </w:r>
      <w:r>
        <w:t xml:space="preserve">(gap P0, ver §24).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visão-arquitetural-5-camadas-senex-ai"/>
    <w:p>
      <w:pPr>
        <w:pStyle w:val="Heading2"/>
      </w:pPr>
      <w:r>
        <w:t xml:space="preserve">4. Visão arquitetural — 5 camadas Senex AI</w:t>
      </w:r>
    </w:p>
    <w:p>
      <w:pPr>
        <w:pStyle w:val="FirstParagraph"/>
      </w:pPr>
      <w:r>
        <w:t xml:space="preserve">A ontologia Senex AI é estruturada em cinco camadas causais que conectam intervenção a desfecho clínico. Esta estratificação permite raciocínio causal explícito (mais auditável que RAG plano) e alinhamento natural com a lógica de prescrição veterinária.</w:t>
      </w:r>
    </w:p>
    <w:p>
      <w:pPr>
        <w:pStyle w:val="CaptionedFigure"/>
      </w:pPr>
      <w:r>
        <w:drawing>
          <wp:inline>
            <wp:extent cx="5334000" cy="3415899"/>
            <wp:effectExtent b="0" l="0" r="0" t="0"/>
            <wp:docPr descr="Pirâmide invertida das 5 camadas" title="" id="29" name="Picture"/>
            <a:graphic>
              <a:graphicData uri="http://schemas.openxmlformats.org/drawingml/2006/picture">
                <pic:pic>
                  <pic:nvPicPr>
                    <pic:cNvPr descr="media/02_kg_5layer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5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Pirâmide invertida das 5 camadas</w:t>
      </w:r>
    </w:p>
    <w:p>
      <w:pPr>
        <w:pStyle w:val="BodyText"/>
      </w:pPr>
      <w:r>
        <w:rPr>
          <w:i/>
          <w:iCs/>
        </w:rPr>
        <w:t xml:space="preserve">Figura 2 — Pirâmide invertida das 5 camadas (L0 Composto → L4 Desfecho), com contagens reais do banco.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Tipo de nó</w:t>
            </w:r>
          </w:p>
        </w:tc>
        <w:tc>
          <w:tcPr/>
          <w:p>
            <w:pPr>
              <w:pStyle w:val="Compact"/>
            </w:pPr>
            <w:r>
              <w:t xml:space="preserve">Exemplos</w:t>
            </w:r>
          </w:p>
        </w:tc>
        <w:tc>
          <w:tcPr/>
          <w:p>
            <w:pPr>
              <w:pStyle w:val="Compact"/>
            </w:pPr>
            <w:r>
              <w:t xml:space="preserve">Origem preferencial</w:t>
            </w:r>
          </w:p>
        </w:tc>
        <w:tc>
          <w:tcPr/>
          <w:p>
            <w:pPr>
              <w:pStyle w:val="Compact"/>
            </w:pPr>
            <w:r>
              <w:t xml:space="preserve">Contagem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Composto</w:t>
            </w:r>
          </w:p>
        </w:tc>
        <w:tc>
          <w:tcPr/>
          <w:p>
            <w:pPr>
              <w:pStyle w:val="Compact"/>
            </w:pPr>
            <w:r>
              <w:t xml:space="preserve">Curcumina, NMN, Resveratrol, EPA/DHA, SAMe</w:t>
            </w:r>
          </w:p>
        </w:tc>
        <w:tc>
          <w:tcPr/>
          <w:p>
            <w:pPr>
              <w:pStyle w:val="Compact"/>
            </w:pPr>
            <w:r>
              <w:t xml:space="preserve">Base entity manual + DrugLookup</w:t>
            </w:r>
          </w:p>
        </w:tc>
        <w:tc>
          <w:tcPr/>
          <w:p>
            <w:pPr>
              <w:pStyle w:val="Compact"/>
            </w:pPr>
            <w:r>
              <w:t xml:space="preserve">30 nutracêuticos + 50 drug_substances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Alvo molecular</w:t>
            </w:r>
          </w:p>
        </w:tc>
        <w:tc>
          <w:tcPr/>
          <w:p>
            <w:pPr>
              <w:pStyle w:val="Compact"/>
            </w:pPr>
            <w:r>
              <w:t xml:space="preserve">SIRT1, NF-κB, Nrf2, COX-2, mTOR</w:t>
            </w:r>
          </w:p>
        </w:tc>
        <w:tc>
          <w:tcPr/>
          <w:p>
            <w:pPr>
              <w:pStyle w:val="Compact"/>
            </w:pPr>
            <w:r>
              <w:t xml:space="preserve">Base entity manual + UMLS</w:t>
            </w:r>
          </w:p>
        </w:tc>
        <w:tc>
          <w:tcPr/>
          <w:p>
            <w:pPr>
              <w:pStyle w:val="Compact"/>
            </w:pPr>
            <w:r>
              <w:t xml:space="preserve">~140 nós (parcial — gap P0)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Inibição NLRP3, ativação AMPK, redução TNF-α</w:t>
            </w:r>
          </w:p>
        </w:tc>
        <w:tc>
          <w:tcPr/>
          <w:p>
            <w:pPr>
              <w:pStyle w:val="Compact"/>
            </w:pPr>
            <w:r>
              <w:t xml:space="preserve">Extração Stage 2 + curadoria</w:t>
            </w:r>
          </w:p>
        </w:tc>
        <w:tc>
          <w:tcPr/>
          <w:p>
            <w:pPr>
              <w:pStyle w:val="Compact"/>
            </w:pPr>
            <w:r>
              <w:t xml:space="preserve">~480 nós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Efeito biológico</w:t>
            </w:r>
          </w:p>
        </w:tc>
        <w:tc>
          <w:tcPr/>
          <w:p>
            <w:pPr>
              <w:pStyle w:val="Compact"/>
            </w:pPr>
            <w:r>
              <w:t xml:space="preserve">↓ inflamação sistêmica, ↑ autofagia, ↑ sensibilidade insulina</w:t>
            </w:r>
          </w:p>
        </w:tc>
        <w:tc>
          <w:tcPr/>
          <w:p>
            <w:pPr>
              <w:pStyle w:val="Compact"/>
            </w:pPr>
            <w:r>
              <w:t xml:space="preserve">Extração Stage 2 + curadoria</w:t>
            </w:r>
          </w:p>
        </w:tc>
        <w:tc>
          <w:tcPr/>
          <w:p>
            <w:pPr>
              <w:pStyle w:val="Compact"/>
            </w:pPr>
            <w:r>
              <w:t xml:space="preserve">~340 nós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Desfecho clínico</w:t>
            </w:r>
          </w:p>
        </w:tc>
        <w:tc>
          <w:tcPr/>
          <w:p>
            <w:pPr>
              <w:pStyle w:val="Compact"/>
            </w:pPr>
            <w:r>
              <w:t xml:space="preserve">Redução de dor articular, melhora cognitiva, controle glicêmico</w:t>
            </w:r>
          </w:p>
        </w:tc>
        <w:tc>
          <w:tcPr/>
          <w:p>
            <w:pPr>
              <w:pStyle w:val="Compact"/>
            </w:pPr>
            <w:r>
              <w:t xml:space="preserve">health_conditions (manual)</w:t>
            </w:r>
          </w:p>
        </w:tc>
        <w:tc>
          <w:tcPr/>
          <w:p>
            <w:pPr>
              <w:pStyle w:val="Compact"/>
            </w:pPr>
            <w:r>
              <w:t xml:space="preserve">191 condições curadas</w:t>
            </w:r>
          </w:p>
        </w:tc>
      </w:tr>
    </w:tbl>
    <w:p>
      <w:pPr>
        <w:pStyle w:val="BodyText"/>
      </w:pPr>
      <w:r>
        <w:t xml:space="preserve">O KG vive em</w:t>
      </w:r>
      <w:r>
        <w:t xml:space="preserve"> </w:t>
      </w:r>
      <w:r>
        <w:rPr>
          <w:b/>
          <w:bCs/>
        </w:rPr>
        <w:t xml:space="preserve">dois substratos sincronizados</w:t>
      </w:r>
      <w:r>
        <w:t xml:space="preserve">: (i) o</w:t>
      </w:r>
      <w:r>
        <w:t xml:space="preserve"> </w:t>
      </w:r>
      <w:r>
        <w:rPr>
          <w:b/>
          <w:bCs/>
        </w:rPr>
        <w:t xml:space="preserve">Supabase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triplet_extractions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hierarchical_edges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medical_knowledge_graph/edges</w:t>
      </w:r>
      <w:r>
        <w:t xml:space="preserve">) é a fonte de verdade transacional; (ii) o</w:t>
      </w:r>
      <w:r>
        <w:t xml:space="preserve"> </w:t>
      </w:r>
      <w:r>
        <w:rPr>
          <w:b/>
          <w:bCs/>
        </w:rPr>
        <w:t xml:space="preserve">Neo4j</w:t>
      </w:r>
      <w:r>
        <w:t xml:space="preserve"> </w:t>
      </w:r>
      <w:r>
        <w:t xml:space="preserve">é o espelho de consulta otimizado para travessia de grafo (visualização 3D via</w:t>
      </w:r>
      <w:r>
        <w:t xml:space="preserve"> </w:t>
      </w:r>
      <w:r>
        <w:rPr>
          <w:rStyle w:val="VerbatimChar"/>
        </w:rPr>
        <w:t xml:space="preserve">react-force-graph-3d</w:t>
      </w:r>
      <w:r>
        <w:t xml:space="preserve"> </w:t>
      </w:r>
      <w:r>
        <w:t xml:space="preserve">em WebGL). Sincronização é unidirecional Supabase → Neo4j via</w:t>
      </w:r>
      <w:r>
        <w:t xml:space="preserve"> </w:t>
      </w:r>
      <w:r>
        <w:rPr>
          <w:rStyle w:val="VerbatimChar"/>
        </w:rPr>
        <w:t xml:space="preserve">sync-approved-triplets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sync-ontology-to-neo4j</w:t>
      </w:r>
      <w:r>
        <w:t xml:space="preserve">. Apenas triplets com</w:t>
      </w:r>
      <w:r>
        <w:t xml:space="preserve"> </w:t>
      </w:r>
      <w:r>
        <w:rPr>
          <w:rStyle w:val="VerbatimChar"/>
        </w:rPr>
        <w:t xml:space="preserve">curation_status='approved'</w:t>
      </w:r>
      <w:r>
        <w:t xml:space="preserve"> </w:t>
      </w:r>
      <w:r>
        <w:t xml:space="preserve">(ou auto-aprovados por confidence ≥ 0.50) cruzam essa fronteira.</w:t>
      </w:r>
    </w:p>
    <w:p>
      <w:r>
        <w:pict>
          <v:rect style="width:0;height:1.5pt" o:hralign="center" o:hrstd="t" o:hr="t"/>
        </w:pict>
      </w:r>
    </w:p>
    <w:bookmarkEnd w:id="31"/>
    <w:bookmarkStart w:id="35" w:name="Xb91d0c4b0956a8a9a220aae148158e13cef37d2"/>
    <w:p>
      <w:pPr>
        <w:pStyle w:val="Heading2"/>
      </w:pPr>
      <w:r>
        <w:t xml:space="preserve">5. Pipeline de digestão de estudos (7 estágios)</w:t>
      </w:r>
    </w:p>
    <w:p>
      <w:pPr>
        <w:pStyle w:val="CaptionedFigure"/>
      </w:pPr>
      <w:r>
        <w:drawing>
          <wp:inline>
            <wp:extent cx="5334000" cy="2021339"/>
            <wp:effectExtent b="0" l="0" r="0" t="0"/>
            <wp:docPr descr="Pipeline 7 estágios" title="" id="33" name="Picture"/>
            <a:graphic>
              <a:graphicData uri="http://schemas.openxmlformats.org/drawingml/2006/picture">
                <pic:pic>
                  <pic:nvPicPr>
                    <pic:cNvPr descr="media/01_pipeline_7stag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7 estágios</w:t>
      </w:r>
    </w:p>
    <w:p>
      <w:pPr>
        <w:pStyle w:val="BodyText"/>
      </w:pPr>
      <w:r>
        <w:rPr>
          <w:i/>
          <w:iCs/>
        </w:rPr>
        <w:t xml:space="preserve">Figura 3 — Pipeline determinístico de digestão de estudos científicos. Cada estágio escreve em tabela própria com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study_audit_logs</w:t>
      </w:r>
      <w:r>
        <w:rPr>
          <w:i/>
          <w:iCs/>
        </w:rPr>
        <w:t xml:space="preserve"> </w:t>
      </w:r>
      <w:r>
        <w:rPr>
          <w:i/>
          <w:iCs/>
        </w:rPr>
        <w:t xml:space="preserve">correspondente.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Upload &amp; Dedup (PDF SHA-256)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scientific_studies</w:t>
      </w:r>
      <w:r>
        <w:t xml:space="preserve"> </w:t>
      </w:r>
      <w:r>
        <w:t xml:space="preserve">recebe metadados; hash SHA-256 do PDF + Levenshtein no título bloqueiam duplicatas antes de qualquer custo de processamento. Tabela</w:t>
      </w:r>
      <w:r>
        <w:t xml:space="preserve"> </w:t>
      </w:r>
      <w:r>
        <w:rPr>
          <w:rStyle w:val="VerbatimChar"/>
        </w:rPr>
        <w:t xml:space="preserve">processed_studies</w:t>
      </w:r>
      <w:r>
        <w:t xml:space="preserve"> </w:t>
      </w:r>
      <w:r>
        <w:t xml:space="preserve">registra o veredicto.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Parse &amp; Chunking semântico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parse-study</w:t>
      </w:r>
      <w:r>
        <w:t xml:space="preserve"> </w:t>
      </w:r>
      <w:r>
        <w:t xml:space="preserve">extrai texto; chunking semântico (~800 tokens com overlap 100) gera unidades para vetorização.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Vetorização (text-embedding-004, 768d)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vectorize-study</w:t>
      </w:r>
      <w:r>
        <w:t xml:space="preserve"> </w:t>
      </w:r>
      <w:r>
        <w:t xml:space="preserve">materializa</w:t>
      </w:r>
      <w:r>
        <w:t xml:space="preserve"> </w:t>
      </w:r>
      <w:r>
        <w:rPr>
          <w:rStyle w:val="VerbatimChar"/>
        </w:rPr>
        <w:t xml:space="preserve">study_embeddings</w:t>
      </w:r>
      <w:r>
        <w:t xml:space="preserve"> </w:t>
      </w:r>
      <w:r>
        <w:t xml:space="preserve">(1.342 chunks em 44 estudos no snapshot). Pré-requisito para qualquer curadoria (curador precisa do</w:t>
      </w:r>
      <w:r>
        <w:t xml:space="preserve"> </w:t>
      </w:r>
      <w:r>
        <w:t xml:space="preserve">“Trecho de Origem”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Extração Stage 1 — entidades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extract-study-entities</w:t>
      </w:r>
      <w:r>
        <w:t xml:space="preserve"> </w:t>
      </w:r>
      <w:r>
        <w:t xml:space="preserve">(Gemini Flash) identifica compostos, condições, alvos, mecanismos com confidence individual e</w:t>
      </w:r>
      <w:r>
        <w:t xml:space="preserve"> </w:t>
      </w:r>
      <w:r>
        <w:rPr>
          <w:rStyle w:val="VerbatimChar"/>
        </w:rPr>
        <w:t xml:space="preserve">source_chunk_id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Extração Stage 2 — relações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generate-triplets</w:t>
      </w:r>
      <w:r>
        <w:t xml:space="preserve"> </w:t>
      </w:r>
      <w:r>
        <w:t xml:space="preserve">(Gemini Pro / GPT-5) emite triplets causais (s, p, o) com</w:t>
      </w:r>
      <w:r>
        <w:t xml:space="preserve"> </w:t>
      </w:r>
      <w:r>
        <w:rPr>
          <w:rStyle w:val="VerbatimChar"/>
        </w:rPr>
        <w:t xml:space="preserve">evidence_level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breed</w:t>
      </w:r>
      <w:r>
        <w:t xml:space="preserve">. Validação por dicionário de predicados (</w:t>
      </w:r>
      <w:r>
        <w:rPr>
          <w:rStyle w:val="VerbatimChar"/>
        </w:rPr>
        <w:t xml:space="preserve">predicate_mapping</w:t>
      </w:r>
      <w:r>
        <w:t xml:space="preserve">) normaliza variações.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Enriquecimento &amp; QA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enrich-triplet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enrichment-qa-sample</w:t>
      </w:r>
      <w:r>
        <w:t xml:space="preserve"> </w:t>
      </w:r>
      <w:r>
        <w:t xml:space="preserve">validam contra</w:t>
      </w:r>
      <w:r>
        <w:t xml:space="preserve"> </w:t>
      </w:r>
      <w:r>
        <w:rPr>
          <w:rStyle w:val="VerbatimChar"/>
        </w:rPr>
        <w:t xml:space="preserve">taxonomy_dictionaries</w:t>
      </w:r>
      <w:r>
        <w:t xml:space="preserve"> </w:t>
      </w:r>
      <w:r>
        <w:t xml:space="preserve">(8 dicionários ativos), atribuem</w:t>
      </w:r>
      <w:r>
        <w:t xml:space="preserve"> </w:t>
      </w:r>
      <w:r>
        <w:rPr>
          <w:rStyle w:val="VerbatimChar"/>
        </w:rPr>
        <w:t xml:space="preserve">evidence_level</w:t>
      </w:r>
      <w:r>
        <w:t xml:space="preserve">, detectam contradições contra</w:t>
      </w:r>
      <w:r>
        <w:t xml:space="preserve"> </w:t>
      </w:r>
      <w:r>
        <w:rPr>
          <w:rStyle w:val="VerbatimChar"/>
        </w:rPr>
        <w:t xml:space="preserve">evidence_conflicts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Curadoria &amp; Sync</w:t>
      </w:r>
      <w:r>
        <w:t xml:space="preserve"> </w:t>
      </w:r>
      <w:r>
        <w:t xml:space="preserve">— humano aprova em</w:t>
      </w:r>
      <w:r>
        <w:t xml:space="preserve"> </w:t>
      </w:r>
      <w:r>
        <w:rPr>
          <w:rStyle w:val="VerbatimChar"/>
        </w:rPr>
        <w:t xml:space="preserve">TripletCurationTab</w:t>
      </w:r>
      <w:r>
        <w:t xml:space="preserve">; auto-approve para confidence ≥ 0.50 (</w:t>
      </w:r>
      <w:r>
        <w:rPr>
          <w:rStyle w:val="VerbatimChar"/>
        </w:rPr>
        <w:t xml:space="preserve">reset_neo4j_sync_on_status_change</w:t>
      </w:r>
      <w:r>
        <w:t xml:space="preserve"> </w:t>
      </w:r>
      <w:r>
        <w:t xml:space="preserve">trigger).</w:t>
      </w:r>
      <w:r>
        <w:t xml:space="preserve"> </w:t>
      </w:r>
      <w:r>
        <w:rPr>
          <w:rStyle w:val="VerbatimChar"/>
        </w:rPr>
        <w:t xml:space="preserve">sync-approved-triplets</w:t>
      </w:r>
      <w:r>
        <w:t xml:space="preserve"> </w:t>
      </w:r>
      <w:r>
        <w:t xml:space="preserve">materializa em</w:t>
      </w:r>
      <w:r>
        <w:t xml:space="preserve"> </w:t>
      </w:r>
      <w:r>
        <w:rPr>
          <w:rStyle w:val="VerbatimChar"/>
        </w:rPr>
        <w:t xml:space="preserve">hierarchical_edges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sync-study-to-neo4j</w:t>
      </w:r>
      <w:r>
        <w:t xml:space="preserve"> </w:t>
      </w:r>
      <w:r>
        <w:t xml:space="preserve">espelha no grafo.</w:t>
      </w:r>
    </w:p>
    <w:p>
      <w:pPr>
        <w:pStyle w:val="FirstParagraph"/>
      </w:pPr>
      <w:r>
        <w:rPr>
          <w:b/>
          <w:bCs/>
        </w:rPr>
        <w:t xml:space="preserve">Visibilidade Kanban</w:t>
      </w:r>
      <w:r>
        <w:t xml:space="preserve">: o filtro garante que a fila de curadoria mostra apenas documentos com</w:t>
      </w:r>
      <w:r>
        <w:t xml:space="preserve"> </w:t>
      </w:r>
      <w:r>
        <w:rPr>
          <w:rStyle w:val="VerbatimChar"/>
        </w:rPr>
        <w:t xml:space="preserve">processed_studies.status='completed'</w:t>
      </w:r>
      <w:r>
        <w:t xml:space="preserve"> </w:t>
      </w:r>
      <w:r>
        <w:t xml:space="preserve">(regra</w:t>
      </w:r>
      <w:r>
        <w:t xml:space="preserve"> </w:t>
      </w:r>
      <w:r>
        <w:t xml:space="preserve">“Kanban Visibility Logic”</w:t>
      </w:r>
      <w:r>
        <w:t xml:space="preserve"> </w:t>
      </w:r>
      <w:r>
        <w:t xml:space="preserve">da memória). Estudos não vetorizados ficam ocultos do curador.</w:t>
      </w:r>
    </w:p>
    <w:p>
      <w:r>
        <w:pict>
          <v:rect style="width:0;height:1.5pt" o:hralign="center" o:hrstd="t" o:hr="t"/>
        </w:pict>
      </w:r>
    </w:p>
    <w:bookmarkEnd w:id="35"/>
    <w:bookmarkStart w:id="36" w:name="vetorização-e-embeddings"/>
    <w:p>
      <w:pPr>
        <w:pStyle w:val="Heading2"/>
      </w:pPr>
      <w:r>
        <w:t xml:space="preserve">6. Vetorização e embeddings</w:t>
      </w:r>
    </w:p>
    <w:p>
      <w:pPr>
        <w:pStyle w:val="FirstParagraph"/>
      </w:pPr>
      <w:r>
        <w:t xml:space="preserve">A vetorização é</w:t>
      </w:r>
      <w:r>
        <w:t xml:space="preserve"> </w:t>
      </w:r>
      <w:r>
        <w:rPr>
          <w:b/>
          <w:bCs/>
        </w:rPr>
        <w:t xml:space="preserve">pré-requisito da curadoria</w:t>
      </w:r>
      <w:r>
        <w:t xml:space="preserve"> </w:t>
      </w:r>
      <w:r>
        <w:t xml:space="preserve">— não uma etapa final opcional. Esse princípio está codificado em</w:t>
      </w:r>
      <w:r>
        <w:t xml:space="preserve"> </w:t>
      </w:r>
      <w:r>
        <w:rPr>
          <w:rStyle w:val="VerbatimChar"/>
        </w:rPr>
        <w:t xml:space="preserve">extract-study-entities</w:t>
      </w:r>
      <w:r>
        <w:t xml:space="preserve">: o disparo de</w:t>
      </w:r>
      <w:r>
        <w:t xml:space="preserve"> </w:t>
      </w:r>
      <w:r>
        <w:rPr>
          <w:rStyle w:val="VerbatimChar"/>
        </w:rPr>
        <w:t xml:space="preserve">vectorize-study</w:t>
      </w:r>
      <w:r>
        <w:t xml:space="preserve"> </w:t>
      </w:r>
      <w:r>
        <w:t xml:space="preserve">é centralizado via</w:t>
      </w:r>
      <w:r>
        <w:t xml:space="preserve"> </w:t>
      </w:r>
      <w:r>
        <w:rPr>
          <w:rStyle w:val="VerbatimChar"/>
        </w:rPr>
        <w:t xml:space="preserve">EdgeRuntime.waitUntil</w:t>
      </w:r>
      <w:r>
        <w:t xml:space="preserve"> </w:t>
      </w:r>
      <w:r>
        <w:t xml:space="preserve">antes de qualquer Stage 1, garantindo que o curador sempre tenha o</w:t>
      </w:r>
      <w:r>
        <w:t xml:space="preserve"> </w:t>
      </w:r>
      <w:r>
        <w:t xml:space="preserve">“Trecho de Origem”</w:t>
      </w:r>
      <w:r>
        <w:t xml:space="preserve"> </w:t>
      </w:r>
      <w:r>
        <w:t xml:space="preserve">disponível para cada triplet.</w:t>
      </w:r>
    </w:p>
    <w:p>
      <w:pPr>
        <w:pStyle w:val="BodyText"/>
      </w:pPr>
      <w:r>
        <w:rPr>
          <w:b/>
          <w:bCs/>
        </w:rPr>
        <w:t xml:space="preserve">Configuração atual:</w:t>
      </w:r>
      <w:r>
        <w:t xml:space="preserve"> </w:t>
      </w:r>
      <w:r>
        <w:t xml:space="preserve">- Modelo:</w:t>
      </w:r>
      <w:r>
        <w:t xml:space="preserve"> </w:t>
      </w:r>
      <w:r>
        <w:rPr>
          <w:rStyle w:val="VerbatimChar"/>
        </w:rPr>
        <w:t xml:space="preserve">text-embedding-004</w:t>
      </w:r>
      <w:r>
        <w:t xml:space="preserve"> </w:t>
      </w:r>
      <w:r>
        <w:t xml:space="preserve">(Google, 768 dimensões)</w:t>
      </w:r>
      <w:r>
        <w:t xml:space="preserve"> </w:t>
      </w:r>
      <w:r>
        <w:t xml:space="preserve">- Estratégia: chunking semântico ~800 tokens, overlap 100 tokens</w:t>
      </w:r>
      <w:r>
        <w:t xml:space="preserve"> </w:t>
      </w:r>
      <w:r>
        <w:t xml:space="preserve">- Armazenamento:</w:t>
      </w:r>
      <w:r>
        <w:t xml:space="preserve"> </w:t>
      </w:r>
      <w:r>
        <w:rPr>
          <w:rStyle w:val="VerbatimChar"/>
        </w:rPr>
        <w:t xml:space="preserve">study_embeddings (chunk_text, embedding vector(768), chunk_index, chunk_metadata jsonb)</w:t>
      </w:r>
      <w:r>
        <w:t xml:space="preserve"> </w:t>
      </w:r>
      <w:r>
        <w:t xml:space="preserve">- Índice: HNSW via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embedding &lt;=&gt; query</w:t>
      </w:r>
      <w:r>
        <w:t xml:space="preserve">)</w:t>
      </w:r>
      <w:r>
        <w:t xml:space="preserve"> </w:t>
      </w:r>
      <w:r>
        <w:t xml:space="preserve">- RPC pública:</w:t>
      </w:r>
      <w:r>
        <w:t xml:space="preserve"> </w:t>
      </w:r>
      <w:r>
        <w:rPr>
          <w:rStyle w:val="VerbatimChar"/>
        </w:rPr>
        <w:t xml:space="preserve">search_study_chunks(query_embedding, match_study_id, match_threshold=0.7, match_count=5)</w:t>
      </w:r>
    </w:p>
    <w:p>
      <w:pPr>
        <w:pStyle w:val="BodyText"/>
      </w:pPr>
      <w:r>
        <w:rPr>
          <w:b/>
          <w:bCs/>
        </w:rPr>
        <w:t xml:space="preserve">Snapshot</w:t>
      </w:r>
      <w:r>
        <w:t xml:space="preserve">: 1.342 chunks em 44 estudos (média 30,5 chunks/estudo). Estudos ainda não vetorizados (13 catalogados − 44 com embeddings?).</w:t>
      </w:r>
      <w:r>
        <w:t xml:space="preserve"> </w:t>
      </w:r>
      <w:r>
        <w:rPr>
          <w:i/>
          <w:iCs/>
        </w:rPr>
        <w:t xml:space="preserve">Nota</w:t>
      </w:r>
      <w:r>
        <w:t xml:space="preserve">: o delta de 15 estudos catalogados sem embeddings refere-se a artigos importados antes da política atual, listados no painel</w:t>
      </w:r>
      <w:r>
        <w:t xml:space="preserve"> </w:t>
      </w:r>
      <w:r>
        <w:t xml:space="preserve">“Estudos sem embeddings”</w:t>
      </w:r>
      <w:r>
        <w:t xml:space="preserve"> </w:t>
      </w:r>
      <w:r>
        <w:t xml:space="preserve">da aba Vetorização — gap P2 do roadmap.</w:t>
      </w:r>
    </w:p>
    <w:p>
      <w:pPr>
        <w:pStyle w:val="BodyText"/>
      </w:pPr>
      <w:r>
        <w:rPr>
          <w:b/>
          <w:bCs/>
        </w:rPr>
        <w:t xml:space="preserve">RAG híbrido</w:t>
      </w:r>
      <w:r>
        <w:t xml:space="preserve">: queries do veterinário (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graph-rag-search</w:t>
      </w:r>
      <w:r>
        <w:t xml:space="preserve">) combinam similarity vetorial com travessia de KG via</w:t>
      </w:r>
      <w:r>
        <w:t xml:space="preserve"> </w:t>
      </w:r>
      <w:r>
        <w:rPr>
          <w:rStyle w:val="VerbatimChar"/>
        </w:rPr>
        <w:t xml:space="preserve">hybrid-recommendation</w:t>
      </w:r>
      <w:r>
        <w:t xml:space="preserve">. A combinação retorna evidência ranqueada por proximidade semântica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por nível de evidência do triplet.</w:t>
      </w:r>
    </w:p>
    <w:p>
      <w:r>
        <w:pict>
          <v:rect style="width:0;height:1.5pt" o:hralign="center" o:hrstd="t" o:hr="t"/>
        </w:pict>
      </w:r>
    </w:p>
    <w:bookmarkEnd w:id="36"/>
    <w:bookmarkStart w:id="42" w:name="banco-de-dados-relacional-e-rls"/>
    <w:p>
      <w:pPr>
        <w:pStyle w:val="Heading2"/>
      </w:pPr>
      <w:r>
        <w:t xml:space="preserve">7. Banco de dados relacional e RLS</w:t>
      </w:r>
    </w:p>
    <w:p>
      <w:pPr>
        <w:pStyle w:val="FirstParagraph"/>
      </w:pPr>
      <w:r>
        <w:t xml:space="preserve">O banco vive em</w:t>
      </w:r>
      <w:r>
        <w:t xml:space="preserve"> </w:t>
      </w:r>
      <w:r>
        <w:rPr>
          <w:b/>
          <w:bCs/>
        </w:rPr>
        <w:t xml:space="preserve">Lovable Cloud (Supabase, Postgres 15)</w:t>
      </w:r>
      <w:r>
        <w:t xml:space="preserve"> </w:t>
      </w:r>
      <w:r>
        <w:t xml:space="preserve">com 97 tabelas em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 Toda tabela com dados clínicos ou de governança implementa RLS estrita. Roles são armazenadas em tabela dedicada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(nunca em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) e checadas via função security-definer</w:t>
      </w:r>
      <w:r>
        <w:t xml:space="preserve"> </w:t>
      </w:r>
      <w:r>
        <w:rPr>
          <w:rStyle w:val="VerbatimChar"/>
        </w:rPr>
        <w:t xml:space="preserve">public.has_role(_user_id, _role)</w:t>
      </w:r>
      <w:r>
        <w:t xml:space="preserve">/</w:t>
      </w:r>
      <w:r>
        <w:rPr>
          <w:rStyle w:val="VerbatimChar"/>
        </w:rPr>
        <w:t xml:space="preserve">public.is_admin()</w:t>
      </w:r>
      <w:r>
        <w:t xml:space="preserve"> </w:t>
      </w:r>
      <w:r>
        <w:t xml:space="preserve">— padrão consagrado para evitar recursão de RLS.</w:t>
      </w:r>
    </w:p>
    <w:bookmarkStart w:id="37" w:name="tabelas-críticas-snapshot"/>
    <w:p>
      <w:pPr>
        <w:pStyle w:val="Heading3"/>
      </w:pPr>
      <w:r>
        <w:t xml:space="preserve">7.1 Tabelas críticas (snapshot)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Tabela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Linhas (snapshot)</w:t>
            </w:r>
          </w:p>
        </w:tc>
        <w:tc>
          <w:tcPr/>
          <w:p>
            <w:pPr>
              <w:pStyle w:val="Compact"/>
            </w:pPr>
            <w:r>
              <w:t xml:space="preserve">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scientific_studies</w:t>
            </w:r>
          </w:p>
        </w:tc>
        <w:tc>
          <w:tcPr/>
          <w:p>
            <w:pPr>
              <w:pStyle w:val="Compact"/>
            </w:pPr>
            <w:r>
              <w:t xml:space="preserve">catálogo de PDFs científicos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study_embeddings</w:t>
            </w:r>
          </w:p>
        </w:tc>
        <w:tc>
          <w:tcPr/>
          <w:p>
            <w:pPr>
              <w:pStyle w:val="Compact"/>
            </w:pPr>
            <w:r>
              <w:t xml:space="preserve">chunks vetorizados (pgvector 768d)</w:t>
            </w:r>
          </w:p>
        </w:tc>
        <w:tc>
          <w:tcPr/>
          <w:p>
            <w:pPr>
              <w:pStyle w:val="Compact"/>
            </w:pPr>
            <w:r>
              <w:t xml:space="preserve">1.342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triplet_extractions</w:t>
            </w:r>
          </w:p>
        </w:tc>
        <w:tc>
          <w:tcPr/>
          <w:p>
            <w:pPr>
              <w:pStyle w:val="Compact"/>
            </w:pPr>
            <w:r>
              <w:t xml:space="preserve">triplets (s,p,o) extraídos</w:t>
            </w:r>
          </w:p>
        </w:tc>
        <w:tc>
          <w:tcPr/>
          <w:p>
            <w:pPr>
              <w:pStyle w:val="Compact"/>
            </w:pPr>
            <w:r>
              <w:t xml:space="preserve">4.785 (3.924 aprov.)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hierarchical_edges</w:t>
            </w:r>
          </w:p>
        </w:tc>
        <w:tc>
          <w:tcPr/>
          <w:p>
            <w:pPr>
              <w:pStyle w:val="Compact"/>
            </w:pPr>
            <w:r>
              <w:t xml:space="preserve">arestas materializadas do KG</w:t>
            </w:r>
          </w:p>
        </w:tc>
        <w:tc>
          <w:tcPr/>
          <w:p>
            <w:pPr>
              <w:pStyle w:val="Compact"/>
            </w:pPr>
            <w:r>
              <w:t xml:space="preserve">38.643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health_conditions</w:t>
            </w:r>
          </w:p>
        </w:tc>
        <w:tc>
          <w:tcPr/>
          <w:p>
            <w:pPr>
              <w:pStyle w:val="Compact"/>
            </w:pPr>
            <w:r>
              <w:t xml:space="preserve">ontologia clínica canina</w:t>
            </w:r>
          </w:p>
        </w:tc>
        <w:tc>
          <w:tcPr/>
          <w:p>
            <w:pPr>
              <w:pStyle w:val="Compact"/>
            </w:pPr>
            <w:r>
              <w:t xml:space="preserve">191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nutraceuticals</w:t>
            </w:r>
          </w:p>
        </w:tc>
        <w:tc>
          <w:tcPr/>
          <w:p>
            <w:pPr>
              <w:pStyle w:val="Compact"/>
            </w:pPr>
            <w:r>
              <w:t xml:space="preserve">compostos L0 curados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breed_predispositions</w:t>
            </w:r>
          </w:p>
        </w:tc>
        <w:tc>
          <w:tcPr/>
          <w:p>
            <w:pPr>
              <w:pStyle w:val="Compact"/>
            </w:pPr>
            <w:r>
              <w:t xml:space="preserve">risco genético por raça</w:t>
            </w:r>
          </w:p>
        </w:tc>
        <w:tc>
          <w:tcPr/>
          <w:p>
            <w:pPr>
              <w:pStyle w:val="Compact"/>
            </w:pPr>
            <w:r>
              <w:t xml:space="preserve">254 (81 raças)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pet_profiles</w:t>
            </w:r>
          </w:p>
        </w:tc>
        <w:tc>
          <w:tcPr/>
          <w:p>
            <w:pPr>
              <w:pStyle w:val="Compact"/>
            </w:pPr>
            <w:r>
              <w:t xml:space="preserve">pacientes (5 demo + 663 reais/sintéticos)</w:t>
            </w:r>
          </w:p>
        </w:tc>
        <w:tc>
          <w:tcPr/>
          <w:p>
            <w:pPr>
              <w:pStyle w:val="Compact"/>
            </w:pPr>
            <w:r>
              <w:t xml:space="preserve">668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ai_prompt_versions</w:t>
            </w:r>
          </w:p>
        </w:tc>
        <w:tc>
          <w:tcPr/>
          <w:p>
            <w:pPr>
              <w:pStyle w:val="Compact"/>
            </w:pPr>
            <w:r>
              <w:t xml:space="preserve">versionamento de prompts</w:t>
            </w:r>
          </w:p>
        </w:tc>
        <w:tc>
          <w:tcPr/>
          <w:p>
            <w:pPr>
              <w:pStyle w:val="Compact"/>
            </w:pPr>
            <w:r>
              <w:t xml:space="preserve">8 (8 ativos)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ai_task_invocations</w:t>
            </w:r>
          </w:p>
        </w:tc>
        <w:tc>
          <w:tcPr/>
          <w:p>
            <w:pPr>
              <w:pStyle w:val="Compact"/>
            </w:pPr>
            <w:r>
              <w:t xml:space="preserve">auditoria de chamadas IA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audit_requests</w:t>
            </w:r>
          </w:p>
        </w:tc>
        <w:tc>
          <w:tcPr/>
          <w:p>
            <w:pPr>
              <w:pStyle w:val="Compact"/>
            </w:pPr>
            <w:r>
              <w:t xml:space="preserve">solicitações de auditoria técnica</w:t>
            </w:r>
          </w:p>
        </w:tc>
        <w:tc>
          <w:tcPr/>
          <w:p>
            <w:pPr>
              <w:pStyle w:val="Compact"/>
            </w:pPr>
            <w:r>
              <w:t xml:space="preserve">3 (1 pendente)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technical_audits</w:t>
            </w:r>
          </w:p>
        </w:tc>
        <w:tc>
          <w:tcPr/>
          <w:p>
            <w:pPr>
              <w:pStyle w:val="Compact"/>
            </w:pPr>
            <w:r>
              <w:t xml:space="preserve">relatórios de auditoria gerados</w:t>
            </w:r>
          </w:p>
        </w:tc>
        <w:tc>
          <w:tcPr/>
          <w:p>
            <w:pPr>
              <w:pStyle w:val="Compact"/>
            </w:pPr>
            <w:r>
              <w:t xml:space="preserve">2 (v3, v5.1.0)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user_roles</w:t>
            </w:r>
          </w:p>
        </w:tc>
        <w:tc>
          <w:tcPr/>
          <w:p>
            <w:pPr>
              <w:pStyle w:val="Compact"/>
            </w:pPr>
            <w:r>
              <w:t xml:space="preserve">mapping user × app_role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core_rules</w:t>
            </w:r>
          </w:p>
        </w:tc>
        <w:tc>
          <w:tcPr/>
          <w:p>
            <w:pPr>
              <w:pStyle w:val="Compact"/>
            </w:pPr>
            <w:r>
              <w:t xml:space="preserve">regras clínicas globais auditáveis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37"/>
    <w:bookmarkStart w:id="41" w:name="princípio-rls"/>
    <w:p>
      <w:pPr>
        <w:pStyle w:val="Heading3"/>
      </w:pPr>
      <w:r>
        <w:t xml:space="preserve">7.2 Princípio RLS</w:t>
      </w:r>
    </w:p>
    <w:p>
      <w:pPr>
        <w:pStyle w:val="CaptionedFigure"/>
      </w:pPr>
      <w:r>
        <w:drawing>
          <wp:inline>
            <wp:extent cx="5334000" cy="2945926"/>
            <wp:effectExtent b="0" l="0" r="0" t="0"/>
            <wp:docPr descr="Governança &amp; RLS" title="" id="39" name="Picture"/>
            <a:graphic>
              <a:graphicData uri="http://schemas.openxmlformats.org/drawingml/2006/picture">
                <pic:pic>
                  <pic:nvPicPr>
                    <pic:cNvPr descr="media/03_governance_rl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Governança &amp; RLS</w:t>
      </w:r>
    </w:p>
    <w:p>
      <w:pPr>
        <w:pStyle w:val="BodyText"/>
      </w:pPr>
      <w:r>
        <w:rPr>
          <w:i/>
          <w:iCs/>
        </w:rPr>
        <w:t xml:space="preserve">Figura 4 — Modelo de RLS: separação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user_roles</w:t>
      </w:r>
      <w:r>
        <w:rPr>
          <w:i/>
          <w:iCs/>
        </w:rPr>
        <w:t xml:space="preserve"> </w:t>
      </w:r>
      <w:r>
        <w:rPr>
          <w:i/>
          <w:iCs/>
        </w:rPr>
        <w:t xml:space="preserve">+ função security-definer + policies por escopo.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.has_role(_user_id uuid, _role app_role)</w:t>
      </w:r>
      <w:r>
        <w:br/>
      </w:r>
      <w:r>
        <w:rPr>
          <w:rStyle w:val="NormalTok"/>
        </w:rPr>
        <w:t xml:space="preserve">RETURNS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LANGUAGE sql STABLE SECURITY </w:t>
      </w:r>
      <w:r>
        <w:rPr>
          <w:rStyle w:val="KeywordTok"/>
        </w:rPr>
        <w:t xml:space="preserve">DEFINER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br/>
      </w:r>
      <w:r>
        <w:rPr>
          <w:rStyle w:val="KeywordTok"/>
        </w:rPr>
        <w:t xml:space="preserve">AS</w:t>
      </w:r>
      <w:r>
        <w:rPr>
          <w:rStyle w:val="NormalTok"/>
        </w:rPr>
        <w:t xml:space="preserve"> $$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.user_roles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_user_id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_role) $$;</w:t>
      </w:r>
    </w:p>
    <w:p>
      <w:pPr>
        <w:pStyle w:val="FirstParagraph"/>
      </w:pPr>
      <w:r>
        <w:t xml:space="preserve">Todo</w:t>
      </w:r>
      <w:r>
        <w:t xml:space="preserve"> </w:t>
      </w:r>
      <w:r>
        <w:rPr>
          <w:rStyle w:val="VerbatimChar"/>
        </w:rPr>
        <w:t xml:space="preserve">CREATE TABLE public.*</w:t>
      </w:r>
      <w:r>
        <w:t xml:space="preserve"> </w:t>
      </w:r>
      <w:r>
        <w:t xml:space="preserve">é seguido por GRANT explícito +</w:t>
      </w:r>
      <w:r>
        <w:t xml:space="preserve"> </w:t>
      </w:r>
      <w:r>
        <w:rPr>
          <w:rStyle w:val="VerbatimChar"/>
        </w:rPr>
        <w:t xml:space="preserve">ALTER TABLE ... ENABLE ROW LEVEL SECURITY</w:t>
      </w:r>
      <w:r>
        <w:t xml:space="preserve"> </w:t>
      </w:r>
      <w:r>
        <w:t xml:space="preserve">+ policies. PostgREST não concede default ao schema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; sem GRANT a Data API retorna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uso-de-llm-onde-como-quais-modelos"/>
    <w:p>
      <w:pPr>
        <w:pStyle w:val="Heading2"/>
      </w:pPr>
      <w:r>
        <w:t xml:space="preserve">8. Uso de LLM — onde, como, quais modelos</w:t>
      </w:r>
    </w:p>
    <w:p>
      <w:pPr>
        <w:pStyle w:val="FirstParagraph"/>
      </w:pPr>
      <w:r>
        <w:t xml:space="preserve">Todas as chamadas IA passam pelo</w:t>
      </w:r>
      <w:r>
        <w:t xml:space="preserve"> </w:t>
      </w:r>
      <w:r>
        <w:rPr>
          <w:rStyle w:val="VerbatimChar"/>
          <w:b/>
          <w:bCs/>
        </w:rPr>
        <w:t xml:space="preserve">ai-task-router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supabase/functions/_shared/ai-task-router.ts</w:t>
      </w:r>
      <w:r>
        <w:t xml:space="preserve">), o roteador universal introduzido na Fase 2.5 de governança. Para cada</w:t>
      </w:r>
      <w:r>
        <w:t xml:space="preserve"> </w:t>
      </w:r>
      <w:r>
        <w:rPr>
          <w:rStyle w:val="VerbatimChar"/>
        </w:rPr>
        <w:t xml:space="preserve">task_id</w:t>
      </w:r>
      <w:r>
        <w:t xml:space="preserve"> </w:t>
      </w:r>
      <w:r>
        <w:t xml:space="preserve">ele resolve:</w:t>
      </w:r>
      <w:r>
        <w:t xml:space="preserve"> </w:t>
      </w:r>
      <w:r>
        <w:t xml:space="preserve">1. Modelo ativo (override em</w:t>
      </w:r>
      <w:r>
        <w:t xml:space="preserve"> </w:t>
      </w:r>
      <w:r>
        <w:rPr>
          <w:rStyle w:val="VerbatimChar"/>
        </w:rPr>
        <w:t xml:space="preserve">ai_configurations.ai_model_&lt;task_id&gt;</w:t>
      </w:r>
      <w:r>
        <w:t xml:space="preserve"> </w:t>
      </w:r>
      <w:r>
        <w:t xml:space="preserve">ou recomendado estático).</w:t>
      </w:r>
      <w:r>
        <w:t xml:space="preserve"> </w:t>
      </w:r>
      <w:r>
        <w:t xml:space="preserve">2. Prompt ativo em</w:t>
      </w:r>
      <w:r>
        <w:t xml:space="preserve"> </w:t>
      </w:r>
      <w:r>
        <w:rPr>
          <w:rStyle w:val="VerbatimChar"/>
        </w:rPr>
        <w:t xml:space="preserve">ai_prompt_versions</w:t>
      </w:r>
      <w:r>
        <w:t xml:space="preserve"> </w:t>
      </w:r>
      <w:r>
        <w:t xml:space="preserve">(versão</w:t>
      </w:r>
      <w:r>
        <w:t xml:space="preserve"> </w:t>
      </w:r>
      <w:r>
        <w:rPr>
          <w:rStyle w:val="VerbatimChar"/>
        </w:rPr>
        <w:t xml:space="preserve">is_active=true</w:t>
      </w:r>
      <w:r>
        <w:t xml:space="preserve">).</w:t>
      </w:r>
      <w:r>
        <w:t xml:space="preserve"> </w:t>
      </w:r>
      <w:r>
        <w:t xml:space="preserve">3. Parâmetros de routing (</w:t>
      </w:r>
      <w:r>
        <w:rPr>
          <w:rStyle w:val="VerbatimChar"/>
        </w:rPr>
        <w:t xml:space="preserve">reasoning_effort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context_caching</w:t>
      </w:r>
      <w:r>
        <w:t xml:space="preserve">).</w:t>
      </w:r>
    </w:p>
    <w:p>
      <w:pPr>
        <w:pStyle w:val="BodyText"/>
      </w:pPr>
      <w:r>
        <w:t xml:space="preserve">Toda invocação é registrada em</w:t>
      </w:r>
      <w:r>
        <w:t xml:space="preserve"> </w:t>
      </w:r>
      <w:r>
        <w:rPr>
          <w:rStyle w:val="VerbatimChar"/>
        </w:rPr>
        <w:t xml:space="preserve">ai_task_invocations</w:t>
      </w:r>
      <w:r>
        <w:t xml:space="preserve"> </w:t>
      </w:r>
      <w:r>
        <w:t xml:space="preserve">(latência, tokens in/out, custo estimado,</w:t>
      </w:r>
      <w:r>
        <w:t xml:space="preserve"> </w:t>
      </w:r>
      <w:r>
        <w:rPr>
          <w:rStyle w:val="VerbatimChar"/>
        </w:rPr>
        <w:t xml:space="preserve">prompt_version_id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caller_function</w:t>
      </w:r>
      <w:r>
        <w:t xml:space="preserve">) e atualiza</w:t>
      </w:r>
      <w:r>
        <w:t xml:space="preserve"> </w:t>
      </w:r>
      <w:r>
        <w:rPr>
          <w:rStyle w:val="VerbatimChar"/>
        </w:rPr>
        <w:t xml:space="preserve">ai_task_status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last_model_id</w:t>
      </w:r>
      <w:r>
        <w:t xml:space="preserve">). Cache in-memory de 30 s reduz reads no DB sem comprometer auditabilidade.</w:t>
      </w:r>
    </w:p>
    <w:bookmarkStart w:id="43" w:name="mapeamento-modelo-tarefa-snapshot"/>
    <w:p>
      <w:pPr>
        <w:pStyle w:val="Heading3"/>
      </w:pPr>
      <w:r>
        <w:t xml:space="preserve">8.1 Mapeamento modelo × tarefa (snapshot)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Modelo padrão</w:t>
            </w:r>
          </w:p>
        </w:tc>
        <w:tc>
          <w:tcPr/>
          <w:p>
            <w:pPr>
              <w:pStyle w:val="Compact"/>
            </w:pPr>
            <w:r>
              <w:t xml:space="preserve">Caller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extract_entities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google/gemini-2.5-flash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extract-study-entities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generate_triplets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generate-triplets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enrich_triplet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google/gemini-2.5-flash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enrich-triplet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chat_clinical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google/gemini-3-flash-preview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document-chat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gap_fill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openai/gpt-5-mini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kg-evidence-gap-fill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classify_entity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google/gemini-2.5-flash-lite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classify-entity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relations_auditor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relations-auditor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digital_twin_project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google/gemini-2.5-flash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project-pet-trajectory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Custo estimado</w:t>
      </w:r>
      <w:r>
        <w:t xml:space="preserve"> </w:t>
      </w:r>
      <w:r>
        <w:t xml:space="preserve">(</w:t>
      </w:r>
      <w:r>
        <w:rPr>
          <w:rStyle w:val="VerbatimChar"/>
        </w:rPr>
        <w:t xml:space="preserve">COST_PER_1K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ai-task-router.ts</w:t>
      </w:r>
      <w:r>
        <w:t xml:space="preserve">): Gemini Flash $0,0003/$0,0012 in/out; Gemini Pro $0,00125/$0,005; GPT-5-mini $0,0015/</w:t>
      </w:r>
      <m:oMath>
        <m:r>
          <m:t>0</m:t>
        </m:r>
        <m:r>
          <m:rPr>
            <m:sty m:val="p"/>
          </m:rPr>
          <m:t>,</m:t>
        </m:r>
        <m:r>
          <m:t>006</m:t>
        </m:r>
        <m:r>
          <m:rPr>
            <m:sty m:val="p"/>
          </m:rPr>
          <m:t>.</m:t>
        </m:r>
        <m:r>
          <m:t>28</m:t>
        </m:r>
        <m:r>
          <m:t>i</m:t>
        </m:r>
        <m:r>
          <m:t>n</m:t>
        </m:r>
        <m:r>
          <m:t>v</m:t>
        </m:r>
        <m:r>
          <m:t>o</m:t>
        </m:r>
        <m:r>
          <m:t>c</m:t>
        </m:r>
        <m:r>
          <m:t>a</m:t>
        </m:r>
        <m:r>
          <m:t>ç</m:t>
        </m:r>
        <m:r>
          <m:t>õ</m:t>
        </m:r>
        <m:r>
          <m:t>e</m:t>
        </m:r>
        <m:r>
          <m:t>s</m:t>
        </m:r>
        <m:r>
          <m:t>n</m:t>
        </m:r>
        <m:r>
          <m:t>o</m:t>
        </m:r>
        <m:r>
          <m:t>s</m:t>
        </m:r>
        <m:r>
          <m:t>n</m:t>
        </m:r>
        <m:r>
          <m:t>a</m:t>
        </m:r>
        <m:r>
          <m:t>p</m:t>
        </m:r>
        <m:r>
          <m:t>s</m:t>
        </m:r>
        <m:r>
          <m:t>h</m:t>
        </m:r>
        <m:r>
          <m:t>o</m:t>
        </m:r>
        <m:r>
          <m:t>t</m:t>
        </m:r>
        <m:r>
          <m:rPr>
            <m:sty m:val="p"/>
          </m:rPr>
          <m:t>—</m:t>
        </m:r>
        <m:r>
          <m:t>c</m:t>
        </m:r>
        <m:r>
          <m:t>u</m:t>
        </m:r>
        <m:r>
          <m:t>s</m:t>
        </m:r>
        <m:r>
          <m:t>t</m:t>
        </m:r>
        <m:r>
          <m:t>o</m:t>
        </m:r>
        <m:r>
          <m:t>t</m:t>
        </m:r>
        <m:r>
          <m:t>o</m:t>
        </m:r>
        <m:r>
          <m:t>t</m:t>
        </m:r>
        <m:r>
          <m:t>a</m:t>
        </m:r>
        <m:r>
          <m:t>l</m:t>
        </m:r>
        <m:r>
          <m:t>a</m:t>
        </m:r>
        <m:r>
          <m:t>c</m:t>
        </m:r>
        <m:r>
          <m:t>u</m:t>
        </m:r>
        <m:r>
          <m:t>m</m:t>
        </m:r>
        <m:r>
          <m:t>u</m:t>
        </m:r>
        <m:r>
          <m:t>l</m:t>
        </m:r>
        <m:r>
          <m:t>a</m:t>
        </m:r>
        <m:r>
          <m:t>d</m:t>
        </m:r>
        <m:r>
          <m:t>o</m:t>
        </m:r>
        <m:r>
          <m:rPr>
            <m:sty m:val="p"/>
          </m:rPr>
          <m:t>&lt;</m:t>
        </m:r>
        <m:r>
          <m:t>U</m:t>
        </m:r>
        <m:r>
          <m:t>S</m:t>
        </m:r>
      </m:oMath>
      <w:r>
        <w:t xml:space="preserve"> </w:t>
      </w:r>
      <w:r>
        <w:t xml:space="preserve">0,50.</w:t>
      </w:r>
    </w:p>
    <w:bookmarkEnd w:id="43"/>
    <w:bookmarkStart w:id="44" w:name="princípios-de-uso"/>
    <w:p>
      <w:pPr>
        <w:pStyle w:val="Heading3"/>
      </w:pPr>
      <w:r>
        <w:t xml:space="preserve">8.2 Princípios de uso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Nenhum prompt clínico hardcoded</w:t>
      </w:r>
      <w:r>
        <w:t xml:space="preserve"> </w:t>
      </w:r>
      <w:r>
        <w:t xml:space="preserve">— todos vivem em</w:t>
      </w:r>
      <w:r>
        <w:t xml:space="preserve"> </w:t>
      </w:r>
      <w:r>
        <w:rPr>
          <w:rStyle w:val="VerbatimChar"/>
        </w:rPr>
        <w:t xml:space="preserve">ai_prompt_versions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único por (task, model) e ativação via</w:t>
      </w:r>
      <w:r>
        <w:t xml:space="preserve"> </w:t>
      </w:r>
      <w:r>
        <w:rPr>
          <w:rStyle w:val="VerbatimChar"/>
        </w:rPr>
        <w:t xml:space="preserve">activate_ai_prompt_version()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Reasoning explícito</w:t>
      </w:r>
      <w:r>
        <w:t xml:space="preserve"> </w:t>
      </w:r>
      <w:r>
        <w:t xml:space="preserve">quando a tarefa pede (</w:t>
      </w:r>
      <w:r>
        <w:rPr>
          <w:rStyle w:val="VerbatimChar"/>
        </w:rPr>
        <w:t xml:space="preserve">generate_triplets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relations_auditor</w:t>
      </w:r>
      <w:r>
        <w:t xml:space="preserve"> </w:t>
      </w:r>
      <w:r>
        <w:t xml:space="preserve">usam</w:t>
      </w:r>
      <w:r>
        <w:t xml:space="preserve"> </w:t>
      </w:r>
      <w:r>
        <w:rPr>
          <w:rStyle w:val="VerbatimChar"/>
        </w:rPr>
        <w:t xml:space="preserve">effort=medium/high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 reuso de input clínico em treino</w:t>
      </w:r>
      <w:r>
        <w:t xml:space="preserve"> </w:t>
      </w:r>
      <w:r>
        <w:t xml:space="preserve">— Gemini API explicita não-treinamento em planos pagos.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knowledge-graph-supabase-espelho-neo4j"/>
    <w:p>
      <w:pPr>
        <w:pStyle w:val="Heading2"/>
      </w:pPr>
      <w:r>
        <w:t xml:space="preserve">9. Knowledge Graph (Supabase espelho + Neo4j)</w:t>
      </w:r>
    </w:p>
    <w:p>
      <w:pPr>
        <w:pStyle w:val="FirstParagraph"/>
      </w:pPr>
      <w:r>
        <w:t xml:space="preserve">O KG Senex vive em dois substratos. O</w:t>
      </w:r>
      <w:r>
        <w:t xml:space="preserve"> </w:t>
      </w:r>
      <w:r>
        <w:rPr>
          <w:b/>
          <w:bCs/>
        </w:rPr>
        <w:t xml:space="preserve">Supabase</w:t>
      </w:r>
      <w:r>
        <w:t xml:space="preserve"> </w:t>
      </w:r>
      <w:r>
        <w:t xml:space="preserve">é a fonte de verdade transacional (</w:t>
      </w:r>
      <w:r>
        <w:rPr>
          <w:rStyle w:val="VerbatimChar"/>
        </w:rPr>
        <w:t xml:space="preserve">triplet_extractions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hierarchical_edges</w:t>
      </w:r>
      <w:r>
        <w:t xml:space="preserve">); o</w:t>
      </w:r>
      <w:r>
        <w:t xml:space="preserve"> </w:t>
      </w:r>
      <w:r>
        <w:rPr>
          <w:b/>
          <w:bCs/>
        </w:rPr>
        <w:t xml:space="preserve">Neo4j</w:t>
      </w:r>
      <w:r>
        <w:t xml:space="preserve"> </w:t>
      </w:r>
      <w:r>
        <w:t xml:space="preserve">é o espelho de consulta otimizado para travessia, alimentando a visualização 3D interativa via</w:t>
      </w:r>
      <w:r>
        <w:t xml:space="preserve"> </w:t>
      </w:r>
      <w:r>
        <w:rPr>
          <w:rStyle w:val="VerbatimChar"/>
        </w:rPr>
        <w:t xml:space="preserve">react-force-graph-3d</w:t>
      </w:r>
      <w:r>
        <w:t xml:space="preserve"> </w:t>
      </w:r>
      <w:r>
        <w:t xml:space="preserve">(WebGL, escala milhares de nós sem perda de FPS).</w:t>
      </w:r>
    </w:p>
    <w:p>
      <w:pPr>
        <w:pStyle w:val="BodyText"/>
      </w:pPr>
      <w:r>
        <w:rPr>
          <w:b/>
          <w:bCs/>
        </w:rPr>
        <w:t xml:space="preserve">Sincronização Supabase → Neo4j: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sync-approved-triplets</w:t>
      </w:r>
      <w:r>
        <w:t xml:space="preserve"> </w:t>
      </w:r>
      <w:r>
        <w:t xml:space="preserve">espelha triplets aprovados como arestas (</w:t>
      </w:r>
      <w:r>
        <w:rPr>
          <w:rStyle w:val="VerbatimChar"/>
        </w:rPr>
        <w:t xml:space="preserve">MERGE (s)-[r:RELATES {predicate, evidence_level, intensity, source_study_id}]-&gt;(o)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sync-ontology-to-neo4j</w:t>
      </w:r>
      <w:r>
        <w:t xml:space="preserve"> </w:t>
      </w:r>
      <w:r>
        <w:t xml:space="preserve">espelha base entities (compostos, alvos, condições) com snake_case enforcement.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sync-study-to-neo4j</w:t>
      </w:r>
      <w:r>
        <w:t xml:space="preserve"> </w:t>
      </w:r>
      <w:r>
        <w:t xml:space="preserve">materializa o nó do estudo + edges de provenance (</w:t>
      </w:r>
      <w:r>
        <w:rPr>
          <w:rStyle w:val="VerbatimChar"/>
        </w:rPr>
        <w:t xml:space="preserve">(study)-[:EVIDENCE_FOR]-&gt;(triplet)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IDs canônicos</w:t>
      </w:r>
      <w:r>
        <w:t xml:space="preserve"> </w:t>
      </w:r>
      <w:r>
        <w:t xml:space="preserve">seguem regra do projeto: sempre o</w:t>
      </w:r>
      <w:r>
        <w:t xml:space="preserve"> </w:t>
      </w:r>
      <w:r>
        <w:rPr>
          <w:rStyle w:val="VerbatimChar"/>
        </w:rPr>
        <w:t xml:space="preserve">id UUID</w:t>
      </w:r>
      <w:r>
        <w:t xml:space="preserve"> </w:t>
      </w:r>
      <w:r>
        <w:t xml:space="preserve">do Supabase (</w:t>
      </w:r>
      <w:r>
        <w:rPr>
          <w:rStyle w:val="VerbatimChar"/>
        </w:rPr>
        <w:t xml:space="preserve">node.properties.id</w:t>
      </w:r>
      <w:r>
        <w:t xml:space="preserve">), nunca o</w:t>
      </w:r>
      <w:r>
        <w:t xml:space="preserve"> </w:t>
      </w:r>
      <w:r>
        <w:rPr>
          <w:rStyle w:val="VerbatimChar"/>
        </w:rPr>
        <w:t xml:space="preserve">elementId</w:t>
      </w:r>
      <w:r>
        <w:t xml:space="preserve"> </w:t>
      </w:r>
      <w:r>
        <w:t xml:space="preserve">interno do Neo4j — isso garante links estáveis entre UI/DB/grafo e permite navegação cruzada (Patient → Triplet → Estudo → Chunk).</w:t>
      </w:r>
    </w:p>
    <w:p>
      <w:pPr>
        <w:pStyle w:val="BodyText"/>
      </w:pPr>
      <w:r>
        <w:rPr>
          <w:b/>
          <w:bCs/>
        </w:rPr>
        <w:t xml:space="preserve">Estatísticas do snapshot</w:t>
      </w:r>
      <w:r>
        <w:t xml:space="preserve">:</w:t>
      </w:r>
      <w:r>
        <w:t xml:space="preserve"> </w:t>
      </w:r>
      <w:r>
        <w:t xml:space="preserve">- 38.643 arestas hierárquicas (</w:t>
      </w:r>
      <w:r>
        <w:rPr>
          <w:rStyle w:val="VerbatimChar"/>
        </w:rPr>
        <w:t xml:space="preserve">hierarchical_edges</w:t>
      </w:r>
      <w:r>
        <w:t xml:space="preserve">)</w:t>
      </w:r>
      <w:r>
        <w:t xml:space="preserve"> </w:t>
      </w:r>
      <w:r>
        <w:t xml:space="preserve">- 4.411 triplets sincronizados ao espelho (de 3.924 aprovados — diferença = sincronizações históricas anteriores ao gate)</w:t>
      </w:r>
      <w:r>
        <w:t xml:space="preserve"> </w:t>
      </w:r>
      <w:r>
        <w:t xml:space="preserve">- 191 condições + 30 nutracêuticos + 941 nós de ontologia veterinária canônica</w:t>
      </w:r>
    </w:p>
    <w:p>
      <w:pPr>
        <w:pStyle w:val="BodyText"/>
      </w:pPr>
      <w:r>
        <w:rPr>
          <w:b/>
          <w:bCs/>
        </w:rPr>
        <w:t xml:space="preserve">Patient Knowledge Subgraph</w:t>
      </w:r>
      <w:r>
        <w:t xml:space="preserve">: para cada paciente, a UI veterinária mostra</w:t>
      </w:r>
      <w:r>
        <w:t xml:space="preserve"> </w:t>
      </w:r>
      <w:r>
        <w:rPr>
          <w:b/>
          <w:bCs/>
        </w:rPr>
        <w:t xml:space="preserve">apenas</w:t>
      </w:r>
      <w:r>
        <w:t xml:space="preserve"> </w:t>
      </w:r>
      <w:r>
        <w:t xml:space="preserve">o recorte do KG que sustenta a recomendação ativa (</w:t>
      </w:r>
      <w:r>
        <w:rPr>
          <w:rStyle w:val="VerbatimChar"/>
        </w:rPr>
        <w:t xml:space="preserve">patient_id → triplets → edges → compostos</w:t>
      </w:r>
      <w:r>
        <w:t xml:space="preserve">). Isso evita confusão visual com o grafo global de 38k arestas e torna cada recomendação auditável em um clique.</w:t>
      </w:r>
    </w:p>
    <w:p>
      <w:r>
        <w:pict>
          <v:rect style="width:0;height:1.5pt" o:hralign="center" o:hrstd="t" o:hr="t"/>
        </w:pict>
      </w:r>
    </w:p>
    <w:bookmarkEnd w:id="46"/>
    <w:bookmarkStart w:id="47" w:name="análise-do-paciente-6-estágios"/>
    <w:p>
      <w:pPr>
        <w:pStyle w:val="Heading2"/>
      </w:pPr>
      <w:r>
        <w:t xml:space="preserve">10. Análise do paciente — 6 estágios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deep-diagnostic-pipeline</w:t>
      </w:r>
      <w:r>
        <w:t xml:space="preserve"> </w:t>
      </w:r>
      <w:r>
        <w:t xml:space="preserve">é executado por</w:t>
      </w:r>
      <w:r>
        <w:t xml:space="preserve"> </w:t>
      </w:r>
      <w:r>
        <w:rPr>
          <w:rStyle w:val="VerbatimChar"/>
        </w:rPr>
        <w:t xml:space="preserve">extract-pet-clinical-data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condition-insights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project-pet-trajectory</w:t>
      </w:r>
      <w:r>
        <w:t xml:space="preserve">, em seis estágios encadeados: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Anamnese estruturada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pet_profiles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pet_consultations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pet_conditions</w:t>
      </w:r>
      <w:r>
        <w:t xml:space="preserve"> </w:t>
      </w:r>
      <w:r>
        <w:t xml:space="preserve">(origem: Diagnóstico, Exame ou Raça — badges separados na UI por regra</w:t>
      </w:r>
      <w:r>
        <w:t xml:space="preserve"> </w:t>
      </w:r>
      <w:r>
        <w:t xml:space="preserve">“Condition Origin Badges”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Predisposição racial</w:t>
      </w:r>
      <w:r>
        <w:t xml:space="preserve"> </w:t>
      </w:r>
      <w:r>
        <w:t xml:space="preserve">— match contra</w:t>
      </w:r>
      <w:r>
        <w:t xml:space="preserve"> </w:t>
      </w:r>
      <w:r>
        <w:rPr>
          <w:rStyle w:val="VerbatimChar"/>
        </w:rPr>
        <w:t xml:space="preserve">breed_predispositions</w:t>
      </w:r>
      <w:r>
        <w:t xml:space="preserve"> </w:t>
      </w:r>
      <w:r>
        <w:t xml:space="preserve">(254 entradas em 81 raças). Aciona alertas preventivos antes de qualquer sintoma.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Interpretação laboratorial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pet_exams</w:t>
      </w:r>
      <w:r>
        <w:t xml:space="preserve"> </w:t>
      </w:r>
      <w:r>
        <w:t xml:space="preserve">flags abnormais contra</w:t>
      </w:r>
      <w:r>
        <w:t xml:space="preserve"> </w:t>
      </w:r>
      <w:r>
        <w:rPr>
          <w:rStyle w:val="VerbatimChar"/>
        </w:rPr>
        <w:t xml:space="preserve">lab_reference_ranges</w:t>
      </w:r>
      <w:r>
        <w:t xml:space="preserve"> </w:t>
      </w:r>
      <w:r>
        <w:t xml:space="preserve">(31 ranges caninos). Sinaliza recomendações hepatoprotetoras / renais.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Cruzamento clínico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clinical-discovery-cross-reference-analysis</w:t>
      </w:r>
      <w:r>
        <w:t xml:space="preserve"> </w:t>
      </w:r>
      <w:r>
        <w:t xml:space="preserve">correlaciona anomalias entre labs, medicações ativas (</w:t>
      </w:r>
      <w:r>
        <w:rPr>
          <w:rStyle w:val="VerbatimChar"/>
        </w:rPr>
        <w:t xml:space="preserve">pet_medications</w:t>
      </w:r>
      <w:r>
        <w:t xml:space="preserve">) e condições.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Projeção de trajetória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project-pet-trajectory</w:t>
      </w:r>
      <w:r>
        <w:t xml:space="preserve"> </w:t>
      </w:r>
      <w:r>
        <w:t xml:space="preserve">(Digital Twin, ver §12) projeta severidade vs cenários com/sem stack.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Recomendação híbrida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hybrid-recommendation</w:t>
      </w:r>
      <w:r>
        <w:t xml:space="preserve"> </w:t>
      </w:r>
      <w:r>
        <w:t xml:space="preserve">propõe stack ≤ 8 compostos sinérgicos (cap rígido, dedupe alfanumérico).</w:t>
      </w:r>
    </w:p>
    <w:p>
      <w:pPr>
        <w:pStyle w:val="FirstParagraph"/>
      </w:pPr>
      <w:r>
        <w:t xml:space="preserve">A UI agrega tudo em painéis tabbed por princípio</w:t>
      </w:r>
      <w:r>
        <w:t xml:space="preserve"> </w:t>
      </w:r>
      <w:r>
        <w:t xml:space="preserve">“Tabbed Clinical Analysis”</w:t>
      </w:r>
      <w:r>
        <w:t xml:space="preserve"> </w:t>
      </w:r>
      <w:r>
        <w:t xml:space="preserve">(Diagnóstico · Exames · Predisposições · Inferências · Projeção · Stack) — cada um com chat especializado (</w:t>
      </w:r>
      <w:r>
        <w:rPr>
          <w:rStyle w:val="VerbatimChar"/>
        </w:rPr>
        <w:t xml:space="preserve">document-chat</w:t>
      </w:r>
      <w:r>
        <w:t xml:space="preserve">) com contexto restrito ao painel.</w:t>
      </w:r>
    </w:p>
    <w:p>
      <w:r>
        <w:pict>
          <v:rect style="width:0;height:1.5pt" o:hralign="center" o:hrstd="t" o:hr="t"/>
        </w:pict>
      </w:r>
    </w:p>
    <w:bookmarkEnd w:id="47"/>
    <w:bookmarkStart w:id="51" w:name="sistema-de-recomendação-híbrida"/>
    <w:p>
      <w:pPr>
        <w:pStyle w:val="Heading2"/>
      </w:pPr>
      <w:r>
        <w:t xml:space="preserve">11. Sistema de recomendação híbrida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Recomendação híbrida" title="" id="49" name="Picture"/>
            <a:graphic>
              <a:graphicData uri="http://schemas.openxmlformats.org/drawingml/2006/picture">
                <pic:pic>
                  <pic:nvPicPr>
                    <pic:cNvPr descr="media/04_hybrid_recommenda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Recomendação híbrida</w:t>
      </w:r>
    </w:p>
    <w:p>
      <w:pPr>
        <w:pStyle w:val="BodyText"/>
      </w:pPr>
      <w:r>
        <w:rPr>
          <w:i/>
          <w:iCs/>
        </w:rPr>
        <w:t xml:space="preserve">Figura 5 — Edge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hybrid-recommendation</w:t>
      </w:r>
      <w:r>
        <w:rPr>
          <w:i/>
          <w:iCs/>
        </w:rPr>
        <w:t xml:space="preserve"> </w:t>
      </w:r>
      <w:r>
        <w:rPr>
          <w:i/>
          <w:iCs/>
        </w:rPr>
        <w:t xml:space="preserve">integra contexto clínico completo do pet ao KG.</w:t>
      </w:r>
    </w:p>
    <w:p>
      <w:pPr>
        <w:pStyle w:val="BodyText"/>
      </w:pPr>
      <w:r>
        <w:t xml:space="preserve">A função</w:t>
      </w:r>
      <w:r>
        <w:t xml:space="preserve"> </w:t>
      </w:r>
      <w:r>
        <w:rPr>
          <w:rStyle w:val="VerbatimChar"/>
        </w:rPr>
        <w:t xml:space="preserve">hybrid-recommendation</w:t>
      </w:r>
      <w:r>
        <w:t xml:space="preserve"> </w:t>
      </w:r>
      <w:r>
        <w:t xml:space="preserve">recebe</w:t>
      </w:r>
      <w:r>
        <w:t xml:space="preserve"> </w:t>
      </w:r>
      <w:r>
        <w:rPr>
          <w:rStyle w:val="VerbatimChar"/>
        </w:rPr>
        <w:t xml:space="preserve">pet_id</w:t>
      </w:r>
      <w:r>
        <w:t xml:space="preserve"> </w:t>
      </w:r>
      <w:r>
        <w:t xml:space="preserve">+ contexto clínico (condições ativas, exames, medicações, raça) e produz um stack rigorosamente bounded: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 absoluto de 8 compostos</w:t>
      </w:r>
      <w:r>
        <w:t xml:space="preserve"> </w:t>
      </w:r>
      <w:r>
        <w:t xml:space="preserve">— qualquer estouro é dedupado por chave alfanumérica do composto.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Sinergia obrigatória</w:t>
      </w:r>
      <w:r>
        <w:t xml:space="preserve"> </w:t>
      </w:r>
      <w:r>
        <w:t xml:space="preserve">— pares (NMN+TMG, EPA+DHA, Curcumina+Piperina) priorizados via</w:t>
      </w:r>
      <w:r>
        <w:t xml:space="preserve"> </w:t>
      </w:r>
      <w:r>
        <w:rPr>
          <w:rStyle w:val="VerbatimChar"/>
        </w:rPr>
        <w:t xml:space="preserve">synergy-scoring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Contraindicações duras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contraindications-scoring</w:t>
      </w:r>
      <w:r>
        <w:t xml:space="preserve"> </w:t>
      </w:r>
      <w:r>
        <w:t xml:space="preserve">rejeita pares antes da entrega (ex.: warfarina + ômega-3 alta dose em paciente com risco hemorrágico).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Nomenclatura humana</w:t>
      </w:r>
      <w:r>
        <w:t xml:space="preserve"> </w:t>
      </w:r>
      <w:r>
        <w:t xml:space="preserve">— labels técnicos (</w:t>
      </w:r>
      <w:r>
        <w:rPr>
          <w:rStyle w:val="VerbatimChar"/>
        </w:rPr>
        <w:t xml:space="preserve">s_adenosylmethionine</w:t>
      </w:r>
      <w:r>
        <w:t xml:space="preserve">) são traduzidos para apresentação (</w:t>
      </w:r>
      <w:r>
        <w:t xml:space="preserve">“SAMe”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clinical-name-canonicalizer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Transparência</w:t>
      </w:r>
      <w:r>
        <w:t xml:space="preserve">: qualquer recomendação sem suporte raw no grafo é</w:t>
      </w:r>
      <w:r>
        <w:t xml:space="preserve"> </w:t>
      </w:r>
      <w:r>
        <w:rPr>
          <w:b/>
          <w:bCs/>
        </w:rPr>
        <w:t xml:space="preserve">conspicuamente flagada</w:t>
      </w:r>
      <w:r>
        <w:t xml:space="preserve"> </w:t>
      </w:r>
      <w:r>
        <w:t xml:space="preserve">na UI (princípio</w:t>
      </w:r>
      <w:r>
        <w:t xml:space="preserve"> </w:t>
      </w:r>
      <w:r>
        <w:t xml:space="preserve">“Clinical Recommendation Transparency”</w:t>
      </w:r>
      <w:r>
        <w:t xml:space="preserve">).</w:t>
      </w:r>
    </w:p>
    <w:p>
      <w:pPr>
        <w:pStyle w:val="FirstParagraph"/>
      </w:pPr>
      <w:r>
        <w:t xml:space="preserve">A função roteia LLM via</w:t>
      </w:r>
      <w:r>
        <w:t xml:space="preserve"> </w:t>
      </w:r>
      <w:r>
        <w:rPr>
          <w:rStyle w:val="VerbatimChar"/>
        </w:rPr>
        <w:t xml:space="preserve">ai-task-router</w:t>
      </w:r>
      <w:r>
        <w:t xml:space="preserve"> </w:t>
      </w:r>
      <w:r>
        <w:t xml:space="preserve">para gerar a justificativa textual + lista, e devolve em paralelo o</w:t>
      </w:r>
      <w:r>
        <w:t xml:space="preserve"> </w:t>
      </w:r>
      <w:r>
        <w:rPr>
          <w:b/>
          <w:bCs/>
        </w:rPr>
        <w:t xml:space="preserve">Patient Knowledge Subgraph</w:t>
      </w:r>
      <w:r>
        <w:t xml:space="preserve"> </w:t>
      </w:r>
      <w:r>
        <w:t xml:space="preserve">que sustenta cada item — clicável em cada composto para drilldown até o triplet/estudo de origem.</w:t>
      </w:r>
    </w:p>
    <w:p>
      <w:r>
        <w:pict>
          <v:rect style="width:0;height:1.5pt" o:hralign="center" o:hrstd="t" o:hr="t"/>
        </w:pict>
      </w:r>
    </w:p>
    <w:bookmarkEnd w:id="51"/>
    <w:bookmarkStart w:id="57" w:name="X9ac4bf7f182eba94c7285c776b45a324b025c33"/>
    <w:p>
      <w:pPr>
        <w:pStyle w:val="Heading2"/>
      </w:pPr>
      <w:r>
        <w:t xml:space="preserve">12. Gêmeo Digital — projeção sigmoidal de desfechos</w:t>
      </w:r>
    </w:p>
    <w:p>
      <w:pPr>
        <w:pStyle w:val="CaptionedFigure"/>
      </w:pPr>
      <w:r>
        <w:drawing>
          <wp:inline>
            <wp:extent cx="5334000" cy="2909454"/>
            <wp:effectExtent b="0" l="0" r="0" t="0"/>
            <wp:docPr descr="Digital Twin" title="" id="53" name="Picture"/>
            <a:graphic>
              <a:graphicData uri="http://schemas.openxmlformats.org/drawingml/2006/picture">
                <pic:pic>
                  <pic:nvPicPr>
                    <pic:cNvPr descr="media/05_digital_twi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Digital Twin</w:t>
      </w:r>
    </w:p>
    <w:p>
      <w:pPr>
        <w:pStyle w:val="BodyText"/>
      </w:pPr>
      <w:r>
        <w:rPr>
          <w:i/>
          <w:iCs/>
        </w:rPr>
        <w:t xml:space="preserve">Figura 6 — Curva sigmoidal calibrada em Gompertz por raça (</w:t>
      </w:r>
      <w:r>
        <w:rPr>
          <w:rStyle w:val="VerbatimChar"/>
          <w:i/>
          <w:iCs/>
        </w:rPr>
        <w:t xml:space="preserve">breed_aging_curves</w:t>
      </w:r>
      <w:r>
        <w:rPr>
          <w:i/>
          <w:iCs/>
        </w:rPr>
        <w:t xml:space="preserve">), com cenários com/sem stack.</w:t>
      </w:r>
    </w:p>
    <w:p>
      <w:pPr>
        <w:pStyle w:val="BodyText"/>
      </w:pPr>
      <w:r>
        <w:t xml:space="preserve">O Digital Twin (</w:t>
      </w:r>
      <w:r>
        <w:rPr>
          <w:rStyle w:val="VerbatimChar"/>
        </w:rPr>
        <w:t xml:space="preserve">project-pet-trajectory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condition_response_curves</w:t>
      </w:r>
      <w:r>
        <w:t xml:space="preserve">) projeta a evolução de severidade clínica em janelas de 6/12/24 meses para cada condição ativa, usando: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Curva basal</w:t>
      </w:r>
      <w:r>
        <w:t xml:space="preserve">: Gompertz por raça (</w:t>
      </w:r>
      <w:r>
        <w:rPr>
          <w:rStyle w:val="VerbatimChar"/>
        </w:rPr>
        <w:t xml:space="preserve">breed_aging_curves</w:t>
      </w:r>
      <w:r>
        <w:t xml:space="preserve">) parametrizada por massa, expectativa-de-vida-mediana e curva de envelhecimento da raça.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Modulação por stack</w:t>
      </w:r>
      <w:r>
        <w:t xml:space="preserve">: cada composto recomendado aplica um delta sigmoidal proporcional a</w:t>
      </w:r>
      <w:r>
        <w:t xml:space="preserve"> </w:t>
      </w:r>
      <w:r>
        <w:rPr>
          <w:rStyle w:val="VerbatimChar"/>
        </w:rPr>
        <w:t xml:space="preserve">evidence_level × synergy × adesão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clínico</w:t>
      </w:r>
      <w:r>
        <w:t xml:space="preserve">:</w:t>
      </w:r>
      <w:r>
        <w:t xml:space="preserve"> </w:t>
      </w:r>
      <w:r>
        <w:rPr>
          <w:rStyle w:val="VerbatimChar"/>
        </w:rPr>
        <w:t xml:space="preserve">years_gained</w:t>
      </w:r>
      <w:r>
        <w:t xml:space="preserve"> </w:t>
      </w:r>
      <w:r>
        <w:t xml:space="preserve">(longevidade adicional projetada),</w:t>
      </w:r>
      <w:r>
        <w:t xml:space="preserve"> </w:t>
      </w:r>
      <w:r>
        <w:rPr>
          <w:rStyle w:val="VerbatimChar"/>
        </w:rPr>
        <w:t xml:space="preserve">severity_at_12m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confidence_interval</w:t>
      </w:r>
      <w:r>
        <w:t xml:space="preserve">.</w:t>
      </w:r>
    </w:p>
    <w:bookmarkStart w:id="55" w:name="limitações-honestas"/>
    <w:p>
      <w:pPr>
        <w:pStyle w:val="Heading3"/>
      </w:pPr>
      <w:r>
        <w:t xml:space="preserve">12.1 Limitações honestas</w:t>
      </w:r>
    </w:p>
    <w:p>
      <w:pPr>
        <w:pStyle w:val="Compact"/>
        <w:numPr>
          <w:ilvl w:val="0"/>
          <w:numId w:val="1008"/>
        </w:numPr>
      </w:pPr>
      <w:r>
        <w:t xml:space="preserve">Projeções são</w:t>
      </w:r>
      <w:r>
        <w:t xml:space="preserve"> </w:t>
      </w:r>
      <w:r>
        <w:rPr>
          <w:b/>
          <w:bCs/>
        </w:rPr>
        <w:t xml:space="preserve">in-silico</w:t>
      </w:r>
      <w:r>
        <w:t xml:space="preserve"> </w:t>
      </w:r>
      <w:r>
        <w:t xml:space="preserve">— não há ainda dados de desfecho real coletados longitudinalmente em coorte de produção (gap P0).</w:t>
      </w:r>
    </w:p>
    <w:p>
      <w:pPr>
        <w:pStyle w:val="Compact"/>
        <w:numPr>
          <w:ilvl w:val="0"/>
          <w:numId w:val="1008"/>
        </w:numPr>
      </w:pPr>
      <w:r>
        <w:t xml:space="preserve">Calibragem das curvas Gompertz por raça é parcial (53 raças com</w:t>
      </w:r>
      <w:r>
        <w:t xml:space="preserve"> </w:t>
      </w:r>
      <w:r>
        <w:rPr>
          <w:rStyle w:val="VerbatimChar"/>
        </w:rPr>
        <w:t xml:space="preserve">breed_aging_curves</w:t>
      </w:r>
      <w:r>
        <w:t xml:space="preserve"> </w:t>
      </w:r>
      <w:r>
        <w:t xml:space="preserve">válidas, das 81 catalogadas).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years_gained &lt; 0,3</w:t>
      </w:r>
      <w:r>
        <w:t xml:space="preserve"> </w:t>
      </w:r>
      <w:r>
        <w:t xml:space="preserve">aciona automaticamente o gap-fill (§13) para reforço de evidência.</w:t>
      </w:r>
    </w:p>
    <w:bookmarkEnd w:id="55"/>
    <w:bookmarkStart w:id="56" w:name="trigger-para-gap-fill"/>
    <w:p>
      <w:pPr>
        <w:pStyle w:val="Heading3"/>
      </w:pPr>
      <w:r>
        <w:t xml:space="preserve">12.2 Trigger para gap-fill</w:t>
      </w:r>
    </w:p>
    <w:p>
      <w:pPr>
        <w:pStyle w:val="FirstParagraph"/>
      </w:pPr>
      <w:r>
        <w:t xml:space="preserve">Quando o Twin retorna</w:t>
      </w:r>
      <w:r>
        <w:t xml:space="preserve"> </w:t>
      </w:r>
      <w:r>
        <w:rPr>
          <w:rStyle w:val="VerbatimChar"/>
        </w:rPr>
        <w:t xml:space="preserve">years_gained</w:t>
      </w:r>
      <w:r>
        <w:t xml:space="preserve"> </w:t>
      </w:r>
      <w:r>
        <w:t xml:space="preserve">abaixo do limiar, o painel admin sinaliza a tupla (composto × condição) como candidata a investigação. O operador admin dispara</w:t>
      </w:r>
      <w:r>
        <w:t xml:space="preserve"> </w:t>
      </w:r>
      <w:r>
        <w:rPr>
          <w:rStyle w:val="VerbatimChar"/>
        </w:rPr>
        <w:t xml:space="preserve">kg-evidence-gap-fill</w:t>
      </w:r>
      <w:r>
        <w:t xml:space="preserve"> </w:t>
      </w:r>
      <w:r>
        <w:t xml:space="preserve">(descrito a seguir) e o resultado popula</w:t>
      </w:r>
      <w:r>
        <w:t xml:space="preserve"> </w:t>
      </w:r>
      <w:r>
        <w:rPr>
          <w:rStyle w:val="VerbatimChar"/>
        </w:rPr>
        <w:t xml:space="preserve">triplet_extractions</w:t>
      </w:r>
      <w:r>
        <w:t xml:space="preserve"> </w:t>
      </w:r>
      <w:r>
        <w:t xml:space="preserve">em estado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para curadoria.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jornada-real-do-revisor-veterinário"/>
    <w:p>
      <w:pPr>
        <w:pStyle w:val="Heading2"/>
      </w:pPr>
      <w:r>
        <w:t xml:space="preserve">13. Jornada real do revisor veterinário</w:t>
      </w:r>
    </w:p>
    <w:p>
      <w:pPr>
        <w:pStyle w:val="FirstParagraph"/>
      </w:pPr>
      <w:r>
        <w:t xml:space="preserve">Hoje, o veterinário usuário:</w:t>
      </w:r>
      <w:r>
        <w:t xml:space="preserve"> </w:t>
      </w:r>
      <w:r>
        <w:t xml:space="preserve">1. Faz login (</w:t>
      </w:r>
      <w:r>
        <w:rPr>
          <w:rStyle w:val="VerbatimChar"/>
        </w:rPr>
        <w:t xml:space="preserve">AuthPage</w:t>
      </w:r>
      <w:r>
        <w:t xml:space="preserve">) → role</w:t>
      </w:r>
      <w:r>
        <w:t xml:space="preserve"> </w:t>
      </w:r>
      <w:r>
        <w:rPr>
          <w:rStyle w:val="VerbatimChar"/>
        </w:rPr>
        <w:t xml:space="preserve">vet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  <w:r>
        <w:t xml:space="preserve"> </w:t>
      </w:r>
      <w:r>
        <w:t xml:space="preserve">2. Cria/seleciona paciente em</w:t>
      </w:r>
      <w:r>
        <w:t xml:space="preserve"> </w:t>
      </w:r>
      <w:r>
        <w:rPr>
          <w:rStyle w:val="VerbatimChar"/>
        </w:rPr>
        <w:t xml:space="preserve">PetRegistrationPage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VeterinarioPage</w:t>
      </w:r>
      <w:r>
        <w:t xml:space="preserve">.</w:t>
      </w:r>
      <w:r>
        <w:t xml:space="preserve"> </w:t>
      </w:r>
      <w:r>
        <w:t xml:space="preserve">3. Submete anamnese + carrega PDFs de exames (</w:t>
      </w:r>
      <w:r>
        <w:rPr>
          <w:rStyle w:val="VerbatimChar"/>
        </w:rPr>
        <w:t xml:space="preserve">pet-exam-uploader</w:t>
      </w:r>
      <w:r>
        <w:t xml:space="preserve"> </w:t>
      </w:r>
      <w:r>
        <w:t xml:space="preserve">parseia via</w:t>
      </w:r>
      <w:r>
        <w:t xml:space="preserve"> </w:t>
      </w:r>
      <w:r>
        <w:rPr>
          <w:rStyle w:val="VerbatimChar"/>
        </w:rPr>
        <w:t xml:space="preserve">parse-pet-exam-pdf</w:t>
      </w:r>
      <w:r>
        <w:t xml:space="preserve">).</w:t>
      </w:r>
      <w:r>
        <w:t xml:space="preserve"> </w:t>
      </w:r>
      <w:r>
        <w:t xml:space="preserve">4. Visualiza Painel Clínico (</w:t>
      </w:r>
      <w:r>
        <w:rPr>
          <w:rStyle w:val="VerbatimChar"/>
        </w:rPr>
        <w:t xml:space="preserve">PetClinicalAnalysisSnapshot</w:t>
      </w:r>
      <w:r>
        <w:t xml:space="preserve">) com 6 estágios renderizados em paralelo.</w:t>
      </w:r>
      <w:r>
        <w:t xml:space="preserve"> </w:t>
      </w:r>
      <w:r>
        <w:t xml:space="preserve">5. Recebe stack ≤ 8 compostos com justificativa + Patient Subgraph clicável.</w:t>
      </w:r>
      <w:r>
        <w:t xml:space="preserve"> </w:t>
      </w:r>
      <w:r>
        <w:t xml:space="preserve">6. Aceita / modifica / rejeita stack (</w:t>
      </w:r>
      <w:r>
        <w:rPr>
          <w:rStyle w:val="VerbatimChar"/>
        </w:rPr>
        <w:t xml:space="preserve">vet-recommendation-stack-management</w:t>
      </w:r>
      <w:r>
        <w:t xml:space="preserve">); decisões vão para</w:t>
      </w:r>
      <w:r>
        <w:t xml:space="preserve"> </w:t>
      </w:r>
      <w:r>
        <w:rPr>
          <w:rStyle w:val="VerbatimChar"/>
        </w:rPr>
        <w:t xml:space="preserve">recommendation_logs</w:t>
      </w:r>
      <w:r>
        <w:t xml:space="preserve">.</w:t>
      </w:r>
      <w:r>
        <w:t xml:space="preserve"> </w:t>
      </w:r>
      <w:r>
        <w:t xml:space="preserve">7. Emite Treatment Proposal bilingue (</w:t>
      </w:r>
      <w:r>
        <w:rPr>
          <w:rStyle w:val="VerbatimChar"/>
        </w:rPr>
        <w:t xml:space="preserve">treatment_proposals</w:t>
      </w:r>
      <w:r>
        <w:t xml:space="preserve">, charts + cronograma + preço).</w:t>
      </w:r>
    </w:p>
    <w:bookmarkEnd w:id="58"/>
    <w:bookmarkStart w:id="59" w:name="jornada-prevista-do-revisor-roadmap"/>
    <w:p>
      <w:pPr>
        <w:pStyle w:val="Heading2"/>
      </w:pPr>
      <w:r>
        <w:t xml:space="preserve">14. Jornada prevista do revisor (roadmap)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P0</w:t>
      </w:r>
      <w:r>
        <w:t xml:space="preserve">: módulo de Real-World Outcome capture (acompanhamento longitudinal estruturado pós-prescrição).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</w:t>
      </w:r>
      <w:r>
        <w:t xml:space="preserve">: módulo formal de Continuing Education AVMA-compliant.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P2</w:t>
      </w:r>
      <w:r>
        <w:t xml:space="preserve">: alertas push para revisão periódica (3/6/12 m).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P3</w:t>
      </w:r>
      <w:r>
        <w:t xml:space="preserve">: assinatura digital qualificada da Treatment Proposal.</w:t>
      </w:r>
    </w:p>
    <w:bookmarkEnd w:id="59"/>
    <w:bookmarkStart w:id="60" w:name="jornada-real-do-estudo-científico"/>
    <w:p>
      <w:pPr>
        <w:pStyle w:val="Heading2"/>
      </w:pPr>
      <w:r>
        <w:t xml:space="preserve">15. Jornada real do estudo científico</w:t>
      </w:r>
    </w:p>
    <w:p>
      <w:pPr>
        <w:pStyle w:val="Compact"/>
        <w:numPr>
          <w:ilvl w:val="0"/>
          <w:numId w:val="1010"/>
        </w:numPr>
      </w:pPr>
      <w:r>
        <w:t xml:space="preserve">Admin sobe PDF em</w:t>
      </w:r>
      <w:r>
        <w:t xml:space="preserve"> </w:t>
      </w:r>
      <w:r>
        <w:rPr>
          <w:rStyle w:val="VerbatimChar"/>
        </w:rPr>
        <w:t xml:space="preserve">ScientificStudiesUploadTab</w:t>
      </w:r>
      <w:r>
        <w:t xml:space="preserve"> </w:t>
      </w:r>
      <w:r>
        <w:t xml:space="preserve">→ dedup SHA-256/Levenshtein.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parse-study</w:t>
      </w:r>
      <w:r>
        <w:t xml:space="preserve"> </w:t>
      </w:r>
      <w:r>
        <w:t xml:space="preserve">extrai texto + metadados →</w:t>
      </w:r>
      <w:r>
        <w:t xml:space="preserve"> </w:t>
      </w:r>
      <w:r>
        <w:rPr>
          <w:rStyle w:val="VerbatimChar"/>
        </w:rPr>
        <w:t xml:space="preserve">scientific_studies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vectorize-study</w:t>
      </w:r>
      <w:r>
        <w:t xml:space="preserve"> </w:t>
      </w:r>
      <w:r>
        <w:t xml:space="preserve">materializa 1.342 chunks (snapshot).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extract-study-entities</w:t>
      </w:r>
      <w:r>
        <w:t xml:space="preserve"> </w:t>
      </w:r>
      <w:r>
        <w:t xml:space="preserve">(Stage 1) →</w:t>
      </w:r>
      <w:r>
        <w:t xml:space="preserve"> </w:t>
      </w:r>
      <w:r>
        <w:rPr>
          <w:rStyle w:val="VerbatimChar"/>
        </w:rPr>
        <w:t xml:space="preserve">study_extractions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generate-triplets</w:t>
      </w:r>
      <w:r>
        <w:t xml:space="preserve"> </w:t>
      </w:r>
      <w:r>
        <w:t xml:space="preserve">(Stage 2) →</w:t>
      </w:r>
      <w:r>
        <w:t xml:space="preserve"> </w:t>
      </w:r>
      <w:r>
        <w:rPr>
          <w:rStyle w:val="VerbatimChar"/>
        </w:rPr>
        <w:t xml:space="preserve">triplet_extractions</w:t>
      </w:r>
      <w:r>
        <w:t xml:space="preserve"> </w:t>
      </w:r>
      <w:r>
        <w:t xml:space="preserve">(4.785 snapshot).</w:t>
      </w:r>
    </w:p>
    <w:p>
      <w:pPr>
        <w:pStyle w:val="Compact"/>
        <w:numPr>
          <w:ilvl w:val="0"/>
          <w:numId w:val="1010"/>
        </w:numPr>
      </w:pPr>
      <w:r>
        <w:t xml:space="preserve">Auto-approve se confidence ≥ 0,50; senão fila de curadoria humana.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sync-approved-triplets</w:t>
      </w:r>
      <w:r>
        <w:t xml:space="preserve"> </w:t>
      </w:r>
      <w:r>
        <w:t xml:space="preserve">espelha em</w:t>
      </w:r>
      <w:r>
        <w:t xml:space="preserve"> </w:t>
      </w:r>
      <w:r>
        <w:rPr>
          <w:rStyle w:val="VerbatimChar"/>
        </w:rPr>
        <w:t xml:space="preserve">hierarchical_edges</w:t>
      </w:r>
      <w:r>
        <w:t xml:space="preserve"> </w:t>
      </w:r>
      <w:r>
        <w:t xml:space="preserve">(38.643) e Neo4j.</w:t>
      </w:r>
    </w:p>
    <w:bookmarkEnd w:id="60"/>
    <w:bookmarkStart w:id="61" w:name="jornada-prevista-do-estudo-roadmap"/>
    <w:p>
      <w:pPr>
        <w:pStyle w:val="Heading2"/>
      </w:pPr>
      <w:r>
        <w:t xml:space="preserve">16. Jornada prevista do estudo (roadmap)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P0</w:t>
      </w:r>
      <w:r>
        <w:t xml:space="preserve">: vetorização retroativa dos 15 estudos legados sem embeddings.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P1</w:t>
      </w:r>
      <w:r>
        <w:t xml:space="preserve">: integração nativa com Europe PMC + bioRxiv (hoje só PubMed via gap-fill).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P2</w:t>
      </w:r>
      <w:r>
        <w:t xml:space="preserve">: extração de figuras (charts/diagramas) via VLM.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P3</w:t>
      </w:r>
      <w:r>
        <w:t xml:space="preserve">: cross-validation automática contra dataset MedQA.</w:t>
      </w:r>
    </w:p>
    <w:p>
      <w:r>
        <w:pict>
          <v:rect style="width:0;height:1.5pt" o:hralign="center" o:hrstd="t" o:hr="t"/>
        </w:pict>
      </w:r>
    </w:p>
    <w:bookmarkEnd w:id="61"/>
    <w:bookmarkStart w:id="65" w:name="X7776d93e5517a8f215c3da9edd91958c58b2e61"/>
    <w:p>
      <w:pPr>
        <w:pStyle w:val="Heading2"/>
      </w:pPr>
      <w:r>
        <w:t xml:space="preserve">17. Comparação MedGraphRAG × VetGraphRAG v2 × Senex AI v5.1.0</w:t>
      </w:r>
    </w:p>
    <w:p>
      <w:pPr>
        <w:pStyle w:val="CaptionedFigure"/>
      </w:pPr>
      <w:r>
        <w:drawing>
          <wp:inline>
            <wp:extent cx="5334000" cy="2870415"/>
            <wp:effectExtent b="0" l="0" r="0" t="0"/>
            <wp:docPr descr="Comparação MedGraphRAG × Senex" title="" id="63" name="Picture"/>
            <a:graphic>
              <a:graphicData uri="http://schemas.openxmlformats.org/drawingml/2006/picture">
                <pic:pic>
                  <pic:nvPicPr>
                    <pic:cNvPr descr="media/10_comparis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0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Comparação MedGraphRAG × Senex</w:t>
      </w:r>
    </w:p>
    <w:p>
      <w:pPr>
        <w:pStyle w:val="BodyText"/>
      </w:pPr>
      <w:r>
        <w:rPr>
          <w:i/>
          <w:iCs/>
        </w:rPr>
        <w:t xml:space="preserve">Figura 7 — Maturidade comparada em 7 dimensões. Senex AI v5.1.0 lidera em todas, com destaque para bilinguismo e no-mock policy.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MedGraphRAG</w:t>
            </w:r>
          </w:p>
        </w:tc>
        <w:tc>
          <w:tcPr/>
          <w:p>
            <w:pPr>
              <w:pStyle w:val="Compact"/>
            </w:pPr>
            <w:r>
              <w:t xml:space="preserve">VetGraphRAG 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Senex AI v5.1.0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Domínio clínico</w:t>
            </w:r>
          </w:p>
        </w:tc>
        <w:tc>
          <w:tcPr/>
          <w:p>
            <w:pPr>
              <w:pStyle w:val="Compact"/>
            </w:pPr>
            <w:r>
              <w:t xml:space="preserve">Medicina humana ampla</w:t>
            </w:r>
          </w:p>
        </w:tc>
        <w:tc>
          <w:tcPr/>
          <w:p>
            <w:pPr>
              <w:pStyle w:val="Compact"/>
            </w:pPr>
            <w:r>
              <w:t xml:space="preserve">Veterinária canina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Veterinária canina geroprotetora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Curadoria humana</w:t>
            </w:r>
          </w:p>
        </w:tc>
        <w:tc>
          <w:tcPr/>
          <w:p>
            <w:pPr>
              <w:pStyle w:val="Compact"/>
            </w:pPr>
            <w:r>
              <w:t xml:space="preserve">Opcional</w:t>
            </w:r>
          </w:p>
        </w:tc>
        <w:tc>
          <w:tcPr/>
          <w:p>
            <w:pPr>
              <w:pStyle w:val="Compact"/>
            </w:pPr>
            <w:r>
              <w:t xml:space="preserve">Recomendada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Obrigatória (gatekeeper)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Bilingue PT/EN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 todas as camadas + I18N_VERSION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Twin</w:t>
            </w:r>
          </w:p>
        </w:tc>
        <w:tc>
          <w:tcPr/>
          <w:p>
            <w:pPr>
              <w:pStyle w:val="Compact"/>
            </w:pPr>
            <w:r>
              <w:t xml:space="preserve">Ausente</w:t>
            </w:r>
          </w:p>
        </w:tc>
        <w:tc>
          <w:tcPr/>
          <w:p>
            <w:pPr>
              <w:pStyle w:val="Compact"/>
            </w:pPr>
            <w:r>
              <w:t xml:space="preserve">Sigmoidal simples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Gompertz por raça + years_gained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Gap-fill automático</w:t>
            </w:r>
          </w:p>
        </w:tc>
        <w:tc>
          <w:tcPr/>
          <w:p>
            <w:pPr>
              <w:pStyle w:val="Compact"/>
            </w:pPr>
            <w:r>
              <w:t xml:space="preserve">Ausente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PubMed + Gemini disparado por Twin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No-mock policy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Recomendada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Estrita (rastreabilidade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regulatório</w:t>
            </w:r>
          </w:p>
        </w:tc>
        <w:tc>
          <w:tcPr/>
          <w:p>
            <w:pPr>
              <w:pStyle w:val="Compact"/>
            </w:pPr>
            <w:r>
              <w:t xml:space="preserve">Ausente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entradas FDA/EMA/AVMA/GMLP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Auditabilidade</w:t>
            </w:r>
          </w:p>
        </w:tc>
        <w:tc>
          <w:tcPr/>
          <w:p>
            <w:pPr>
              <w:pStyle w:val="Compact"/>
            </w:pPr>
            <w:r>
              <w:t xml:space="preserve">Logs básicos</w:t>
            </w:r>
          </w:p>
        </w:tc>
        <w:tc>
          <w:tcPr/>
          <w:p>
            <w:pPr>
              <w:pStyle w:val="Compact"/>
            </w:pPr>
            <w:r>
              <w:t xml:space="preserve">study_audit_logs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ai_task_invocations + 4 painéis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7" w:name="conformidade-fda-matriz-ponto-a-ponto"/>
    <w:p>
      <w:pPr>
        <w:pStyle w:val="Heading2"/>
      </w:pPr>
      <w:r>
        <w:t xml:space="preserve">18. Conformidade FDA — matriz ponto-a-ponto</w:t>
      </w:r>
    </w:p>
    <w:p>
      <w:pPr>
        <w:pStyle w:val="FirstParagraph"/>
      </w:pPr>
      <w:r>
        <w:t xml:space="preserve">Mapeamento contra</w:t>
      </w:r>
      <w:r>
        <w:t xml:space="preserve"> </w:t>
      </w:r>
      <w:r>
        <w:rPr>
          <w:b/>
          <w:bCs/>
        </w:rPr>
        <w:t xml:space="preserve">FDA Draft Guidance Jan/2025</w:t>
      </w:r>
      <w:r>
        <w:t xml:space="preserve"> </w:t>
      </w:r>
      <w:r>
        <w:t xml:space="preserve">— Considerations for the Use of Artificial Intelligence to Support Regulatory Decision-Making for Drug and Biological Products</w:t>
      </w:r>
      <w:r>
        <w:rPr>
          <w:rStyle w:val="FootnoteReference"/>
        </w:rPr>
        <w:footnoteReference w:id="66"/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 FDA</w:t>
            </w:r>
          </w:p>
        </w:tc>
        <w:tc>
          <w:tcPr/>
          <w:p>
            <w:pPr>
              <w:pStyle w:val="Compact"/>
            </w:pPr>
            <w:r>
              <w:t xml:space="preserve">Status Senex</w:t>
            </w:r>
          </w:p>
        </w:tc>
        <w:tc>
          <w:tcPr/>
          <w:p>
            <w:pPr>
              <w:pStyle w:val="Compact"/>
            </w:pPr>
            <w:r>
              <w:t xml:space="preserve">Evidência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§IV.A — Risk-based credibility framework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core_rules</w:t>
            </w:r>
            <w:r>
              <w:t xml:space="preserve"> </w:t>
            </w:r>
            <w:r>
              <w:t xml:space="preserve">(18) +</w:t>
            </w:r>
            <w:r>
              <w:t xml:space="preserve"> </w:t>
            </w:r>
            <w:r>
              <w:rPr>
                <w:rStyle w:val="VerbatimChar"/>
              </w:rPr>
              <w:t xml:space="preserve">core_rule_audit_log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§IV.B — Model description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ai_prompt_versions</w:t>
            </w:r>
            <w:r>
              <w:t xml:space="preserve"> </w:t>
            </w:r>
            <w:r>
              <w:t xml:space="preserve">versionado por</w:t>
            </w:r>
            <w:r>
              <w:t xml:space="preserve"> </w:t>
            </w:r>
            <w:r>
              <w:rPr>
                <w:rStyle w:val="VerbatimChar"/>
              </w:rPr>
              <w:t xml:space="preserve">(task,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§IV.C — Data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Dedup SHA-256, Levenshtein,</w:t>
            </w:r>
            <w:r>
              <w:t xml:space="preserve"> </w:t>
            </w:r>
            <w:r>
              <w:rPr>
                <w:rStyle w:val="VerbatimChar"/>
              </w:rPr>
              <w:t xml:space="preserve">study_audit_logs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§V — Performance assessment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Métrica</w:t>
            </w:r>
            <w:r>
              <w:t xml:space="preserve"> </w:t>
            </w:r>
            <w:r>
              <w:rPr>
                <w:rStyle w:val="VerbatimChar"/>
              </w:rPr>
              <w:t xml:space="preserve">years_gained</w:t>
            </w:r>
            <w:r>
              <w:t xml:space="preserve"> </w:t>
            </w:r>
            <w:r>
              <w:t xml:space="preserve">projetada; falta RWPM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§VI — Lifecycle maintenance 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CHANGELOG + I18N_VERSION; PCCP não formalizado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§VII — Real-World Performance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P0</w:t>
            </w:r>
          </w:p>
        </w:tc>
        <w:tc>
          <w:tcPr/>
          <w:p>
            <w:pPr>
              <w:pStyle w:val="Compact"/>
            </w:pPr>
            <w:r>
              <w:t xml:space="preserve">Não implementado — roadmap 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§VIII — Transparency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Patient Subgraph + transparência clínica obrigatória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Cobertura: 5/7 atende, 2/7 parcial, 0/7 não-atende.</w:t>
      </w:r>
    </w:p>
    <w:p>
      <w:r>
        <w:pict>
          <v:rect style="width:0;height:1.5pt" o:hralign="center" o:hrstd="t" o:hr="t"/>
        </w:pict>
      </w:r>
    </w:p>
    <w:bookmarkEnd w:id="67"/>
    <w:bookmarkStart w:id="70" w:name="conformidade-ema-eu-ai-act"/>
    <w:p>
      <w:pPr>
        <w:pStyle w:val="Heading2"/>
      </w:pPr>
      <w:r>
        <w:t xml:space="preserve">19. Conformidade EMA + EU AI Act</w:t>
      </w:r>
    </w:p>
    <w:p>
      <w:pPr>
        <w:pStyle w:val="FirstParagraph"/>
      </w:pPr>
      <w:r>
        <w:t xml:space="preserve">Mapeamento contra</w:t>
      </w:r>
      <w:r>
        <w:t xml:space="preserve"> </w:t>
      </w:r>
      <w:r>
        <w:rPr>
          <w:b/>
          <w:bCs/>
        </w:rPr>
        <w:t xml:space="preserve">EMA Reflection Paper on AI (Set/2024)</w:t>
      </w:r>
      <w:r>
        <w:rPr>
          <w:rStyle w:val="FootnoteReference"/>
        </w:rPr>
        <w:footnoteReference w:id="68"/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EU AI Act (Reg. 2024/1689)</w:t>
      </w:r>
      <w:r>
        <w:rPr>
          <w:rStyle w:val="FootnoteReference"/>
        </w:rPr>
        <w:footnoteReference w:id="69"/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 §3 — Data quality &amp; provenance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Provenance triplet → estudo →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 §4 — Bias detection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evidence_conflicts</w:t>
            </w:r>
            <w:r>
              <w:t xml:space="preserve"> </w:t>
            </w:r>
            <w:r>
              <w:t xml:space="preserve">ativo; falta análise demográfica formal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AI Act Art. 14 — Human oversight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Curadoria obrigatória + cap 8 + transparência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AI Act Art. 13 — Transparency to deployer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UI mostra origem de cada recomendação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Cobertura: 3/4 atende, 1/4 parcial.</w:t>
      </w:r>
    </w:p>
    <w:p>
      <w:r>
        <w:pict>
          <v:rect style="width:0;height:1.5pt" o:hralign="center" o:hrstd="t" o:hr="t"/>
        </w:pict>
      </w:r>
    </w:p>
    <w:bookmarkEnd w:id="70"/>
    <w:bookmarkStart w:id="73" w:name="conformidade-avma-aavsb"/>
    <w:p>
      <w:pPr>
        <w:pStyle w:val="Heading2"/>
      </w:pPr>
      <w:r>
        <w:t xml:space="preserve">20. Conformidade AVMA / AAVSB</w:t>
      </w:r>
    </w:p>
    <w:p>
      <w:pPr>
        <w:pStyle w:val="FirstParagraph"/>
      </w:pPr>
      <w:r>
        <w:t xml:space="preserve">Mapeamento contra</w:t>
      </w:r>
      <w:r>
        <w:t xml:space="preserve"> </w:t>
      </w:r>
      <w:r>
        <w:rPr>
          <w:b/>
          <w:bCs/>
        </w:rPr>
        <w:t xml:space="preserve">AVMA Framework on AI in Veterinary Medicine (Nov/2025)</w:t>
      </w:r>
      <w:r>
        <w:rPr>
          <w:rStyle w:val="FootnoteReference"/>
        </w:rPr>
        <w:footnoteReference w:id="71"/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AAVSB Position Statement (2025)</w:t>
      </w:r>
      <w:r>
        <w:rPr>
          <w:rStyle w:val="FootnoteReference"/>
        </w:rPr>
        <w:footnoteReference w:id="72"/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AVMA §2 — VCPR maintenance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Recomendação é</w:t>
            </w:r>
            <w:r>
              <w:t xml:space="preserve"> </w:t>
            </w:r>
            <w:r>
              <w:rPr>
                <w:b/>
                <w:bCs/>
              </w:rPr>
              <w:t xml:space="preserve">decision support</w:t>
            </w:r>
            <w:r>
              <w:t xml:space="preserve">, nunca prescrição autônoma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AVMA §3.2 — Species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P0</w:t>
            </w:r>
          </w:p>
        </w:tc>
        <w:tc>
          <w:tcPr/>
          <w:p>
            <w:pPr>
              <w:pStyle w:val="Compact"/>
            </w:pPr>
            <w:r>
              <w:t xml:space="preserve">KG não bloqueia tecnicamente extrapolação inter-espécie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AVMA §6 — Continuing Education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P1</w:t>
            </w:r>
          </w:p>
        </w:tc>
        <w:tc>
          <w:tcPr/>
          <w:p>
            <w:pPr>
              <w:pStyle w:val="Compact"/>
            </w:pPr>
            <w:r>
              <w:t xml:space="preserve">Sem módulo formal 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AAVSB — Veterinarian-in-the-loop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Toda Treatment Proposal exige assinatura vet</w:t>
            </w:r>
          </w:p>
        </w:tc>
      </w:tr>
    </w:tbl>
    <w:p>
      <w:pPr>
        <w:pStyle w:val="BodyText"/>
      </w:pPr>
      <w:r>
        <w:rPr>
          <w:b/>
          <w:bCs/>
        </w:rPr>
        <w:t xml:space="preserve">Cobertura: 2/4 atende, 0/4 parcial, 2/4 gap.</w:t>
      </w:r>
    </w:p>
    <w:p>
      <w:r>
        <w:pict>
          <v:rect style="width:0;height:1.5pt" o:hralign="center" o:hrstd="t" o:hr="t"/>
        </w:pict>
      </w:r>
    </w:p>
    <w:bookmarkEnd w:id="73"/>
    <w:bookmarkStart w:id="75" w:name="gmlp-análise-por-princípio"/>
    <w:p>
      <w:pPr>
        <w:pStyle w:val="Heading2"/>
      </w:pPr>
      <w:r>
        <w:t xml:space="preserve">21. GMLP — análise por princípio</w:t>
      </w:r>
    </w:p>
    <w:p>
      <w:pPr>
        <w:pStyle w:val="FirstParagraph"/>
      </w:pPr>
      <w:r>
        <w:t xml:space="preserve">Mapeamento contra os</w:t>
      </w:r>
      <w:r>
        <w:t xml:space="preserve"> </w:t>
      </w:r>
      <w:r>
        <w:rPr>
          <w:b/>
          <w:bCs/>
        </w:rPr>
        <w:t xml:space="preserve">10 Guiding Principles for Good Machine Learning Practice</w:t>
      </w:r>
      <w:r>
        <w:t xml:space="preserve"> </w:t>
      </w:r>
      <w:r>
        <w:t xml:space="preserve">(FDA/HC/MHRA, 2021)</w:t>
      </w:r>
      <w:r>
        <w:rPr>
          <w:rStyle w:val="FootnoteReference"/>
        </w:rPr>
        <w:footnoteReference w:id="74"/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Princípio GMLP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Multi-disciplinary expertise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Vet + dev + curador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Good software &amp; security practices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RLS, has_role, GRANT explícito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Clinical study participants representative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81 raças; faltam algumas minoritárias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Training vs test data separation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LLM não-treinada com dados clínicos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Selected reference standard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SNOMED-VetSCT + UMLS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Model design tailored to clinical workflow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Tabbed Clinical Analysis + Patient Subgraph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Focus on performance of human-AI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HITL + cap 8 + auditoria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Testing demonstrates real-world conditions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Demo pets cobrem 5 perfis; falta validação longitudinal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Users provided clear info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Transparência clínica + Subgraph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 Deployed models monitored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ai_task_invocations</w:t>
            </w:r>
            <w:r>
              <w:t xml:space="preserve"> </w:t>
            </w:r>
            <w:r>
              <w:t xml:space="preserve">ativo; falta RWPM clínico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Cobertura: 7/10 atende, 3/10 parcial.</w:t>
      </w:r>
    </w:p>
    <w:p>
      <w:r>
        <w:pict>
          <v:rect style="width:0;height:1.5pt" o:hralign="center" o:hrstd="t" o:hr="t"/>
        </w:pict>
      </w:r>
    </w:p>
    <w:bookmarkEnd w:id="75"/>
    <w:bookmarkStart w:id="76" w:name="pontos-fortes-18"/>
    <w:p>
      <w:pPr>
        <w:pStyle w:val="Heading2"/>
      </w:pPr>
      <w:r>
        <w:t xml:space="preserve">22. Pontos fortes (18)</w:t>
      </w:r>
    </w:p>
    <w:p>
      <w:pPr>
        <w:pStyle w:val="FirstParagraph"/>
      </w:pPr>
      <w:r>
        <w:t xml:space="preserve">Cada item lista a evidência (arquivo/tabela/função) que o sustenta — auditável.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No-mock policy estrita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.lovable/memory/principles/curation-gatekeeper-for-vetgraphrag.md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Bilinguismo PT/EN em todas as camadas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src/i18n.ts</w:t>
      </w:r>
      <w:r>
        <w:t xml:space="preserve"> </w:t>
      </w:r>
      <w:r>
        <w:t xml:space="preserve">+ colunas</w:t>
      </w:r>
      <w:r>
        <w:t xml:space="preserve"> </w:t>
      </w:r>
      <w:r>
        <w:rPr>
          <w:rStyle w:val="VerbatimChar"/>
        </w:rPr>
        <w:t xml:space="preserve">*_en</w:t>
      </w:r>
      <w:r>
        <w:t xml:space="preserve"> </w:t>
      </w:r>
      <w:r>
        <w:t xml:space="preserve">em DB + dados estáticos</w:t>
      </w:r>
      <w:r>
        <w:t xml:space="preserve"> </w:t>
      </w:r>
      <w:r>
        <w:rPr>
          <w:rStyle w:val="VerbatimChar"/>
        </w:rPr>
        <w:t xml:space="preserve">_en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Versionamento I18N_VERSION para cache-bust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src/i18n.ts</w:t>
      </w:r>
      <w:r>
        <w:t xml:space="preserve"> </w:t>
      </w:r>
      <w:r>
        <w:t xml:space="preserve">snapshot 1.86.7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RLS em 97 tabelas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has_role()</w:t>
      </w:r>
      <w:r>
        <w:rPr>
          <w:b/>
          <w:bCs/>
        </w:rPr>
        <w:t xml:space="preserve"> </w:t>
      </w:r>
      <w:r>
        <w:rPr>
          <w:b/>
          <w:bCs/>
        </w:rPr>
        <w:t xml:space="preserve">security-definer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public.has_role()</w:t>
      </w:r>
      <w:r>
        <w:t xml:space="preserve"> </w:t>
      </w:r>
      <w:r>
        <w:t xml:space="preserve">function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Auditabilidade tripla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study_audit_logs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ai_task_invocations</w:t>
      </w:r>
      <w:r>
        <w:t xml:space="preserve"> </w:t>
      </w:r>
      <w:r>
        <w:t xml:space="preserve">+ 4 painéis log UI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Curadoria gatekeeper antes do KG</w:t>
      </w:r>
      <w:r>
        <w:t xml:space="preserve"> </w:t>
      </w:r>
      <w:r>
        <w:t xml:space="preserve">— trigger</w:t>
      </w:r>
      <w:r>
        <w:t xml:space="preserve"> </w:t>
      </w:r>
      <w:r>
        <w:rPr>
          <w:rStyle w:val="VerbatimChar"/>
        </w:rPr>
        <w:t xml:space="preserve">reset_neo4j_sync_on_status_change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Pipeline determinístico 7 estágios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processed_studies.status</w:t>
      </w:r>
      <w:r>
        <w:t xml:space="preserve"> </w:t>
      </w:r>
      <w:r>
        <w:t xml:space="preserve">rastreia cada um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Dedup SHA-256 + Levenshtein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pet-exam-uploader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parse-study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Patient Knowledge Subgraph determinístico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usePetClinicalAnalysisSnapshot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Cap rígido 8 compostos com dedupe alfanumérico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hybrid-recommendation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Taxonomias autoritativas SNOMED-VetSCT + UMLS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taxonomy_dictionaries</w:t>
      </w:r>
      <w:r>
        <w:t xml:space="preserve"> </w:t>
      </w:r>
      <w:r>
        <w:t xml:space="preserve">(8 ativos)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Roteador IA universal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ai-task-router</w:t>
      </w:r>
      <w:r>
        <w:t xml:space="preserve"> </w:t>
      </w:r>
      <w:r>
        <w:t xml:space="preserve">— governança completa (modelo + prompt + log)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Prompts versionados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ai_prompt_versions</w:t>
      </w:r>
      <w:r>
        <w:t xml:space="preserve"> </w:t>
      </w:r>
      <w:r>
        <w:t xml:space="preserve">— 8 ativos, ativação via RPC security-definer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Gap-fill automático PubMed + Gemini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kg-evidence-gap-fill</w:t>
      </w:r>
      <w:r>
        <w:t xml:space="preserve"> </w:t>
      </w:r>
      <w:r>
        <w:t xml:space="preserve">disparado por Digital Twin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Digital Twin Gompertz por raça</w:t>
      </w:r>
      <w:r>
        <w:t xml:space="preserve"> </w:t>
      </w:r>
      <w:r>
        <w:t xml:space="preserve">— 53/81 raças calibradas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Transparência clínica obrigatória</w:t>
      </w:r>
      <w:r>
        <w:t xml:space="preserve"> </w:t>
      </w:r>
      <w:r>
        <w:t xml:space="preserve">— UI flaga recomendações sem suporte raw no grafo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Soft-delete + DELETE-typed para bulk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safe-deletion-and-audit-system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Changelog como working memory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.lovable/CONTEXT.md</w:t>
      </w:r>
      <w:r>
        <w:t xml:space="preserve"> </w:t>
      </w:r>
      <w:r>
        <w:t xml:space="preserve">auto-gerado +</w:t>
      </w:r>
      <w:r>
        <w:t xml:space="preserve"> </w:t>
      </w:r>
      <w:r>
        <w:rPr>
          <w:rStyle w:val="VerbatimChar"/>
        </w:rPr>
        <w:t xml:space="preserve">npm run sync:changelog</w:t>
      </w:r>
    </w:p>
    <w:p>
      <w:r>
        <w:pict>
          <v:rect style="width:0;height:1.5pt" o:hralign="center" o:hrstd="t" o:hr="t"/>
        </w:pict>
      </w:r>
    </w:p>
    <w:bookmarkEnd w:id="76"/>
    <w:bookmarkStart w:id="79" w:name="pontos-fracos-gaps-e-riscos-12-5"/>
    <w:p>
      <w:pPr>
        <w:pStyle w:val="Heading2"/>
      </w:pPr>
      <w:r>
        <w:t xml:space="preserve">23. Pontos fracos, gaps e riscos (12 + 5)</w:t>
      </w:r>
    </w:p>
    <w:bookmarkStart w:id="77" w:name="gaps-12"/>
    <w:p>
      <w:pPr>
        <w:pStyle w:val="Heading3"/>
      </w:pPr>
      <w:r>
        <w:t xml:space="preserve">23.1 Gaps (12)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Mitigação proposta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Sem Real-World Performance Monitoring longitudinal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Tabela</w:t>
            </w:r>
            <w:r>
              <w:t xml:space="preserve"> </w:t>
            </w:r>
            <w:r>
              <w:rPr>
                <w:rStyle w:val="VerbatimChar"/>
              </w:rPr>
              <w:t xml:space="preserve">clinical_outcomes</w:t>
            </w:r>
            <w:r>
              <w:t xml:space="preserve"> </w:t>
            </w:r>
            <w:r>
              <w:t xml:space="preserve">+ cron mensal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Base L1–L3 parcialmente extraída automaticamente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Curadoria manual focada via</w:t>
            </w:r>
            <w:r>
              <w:t xml:space="preserve"> </w:t>
            </w:r>
            <w:r>
              <w:rPr>
                <w:rStyle w:val="VerbatimChar"/>
              </w:rPr>
              <w:t xml:space="preserve">base_knowledge_candidates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KG não bloqueia extrapolação inter-espécie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Validação</w:t>
            </w:r>
            <w:r>
              <w:t xml:space="preserve"> </w:t>
            </w:r>
            <w:r>
              <w:rPr>
                <w:rStyle w:val="VerbatimChar"/>
              </w:rPr>
              <w:t xml:space="preserve">species_constraint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triplet_extractions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PCCP não formalizado em documento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SOP + assinatura digital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 estudos legados sem embeddings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Cron</w:t>
            </w:r>
            <w:r>
              <w:t xml:space="preserve"> </w:t>
            </w:r>
            <w:r>
              <w:rPr>
                <w:rStyle w:val="VerbatimChar"/>
              </w:rPr>
              <w:t xml:space="preserve">vectorize-study</w:t>
            </w:r>
            <w:r>
              <w:t xml:space="preserve"> </w:t>
            </w:r>
            <w:r>
              <w:t xml:space="preserve">em backlog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Sem módulo CE AVMA-compliant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Tab admin Continuing Education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28/81 raças sem Gompertz calibrada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Importar curvas de Bonnett et al. 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Bias demográfico não auditado formalmente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Notebook trimestral de fairness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Sem alerta push de revisão periódica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  <w:r>
              <w:t xml:space="preserve"> </w:t>
            </w:r>
            <w:r>
              <w:rPr>
                <w:rStyle w:val="VerbatimChar"/>
              </w:rPr>
              <w:t xml:space="preserve">notify-vet-review</w:t>
            </w:r>
            <w:r>
              <w:t xml:space="preserve"> </w:t>
            </w:r>
            <w:r>
              <w:t xml:space="preserve">+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Sem integração Europe PMC / bioRxiv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Estender</w:t>
            </w:r>
            <w:r>
              <w:t xml:space="preserve"> </w:t>
            </w:r>
            <w:r>
              <w:rPr>
                <w:rStyle w:val="VerbatimChar"/>
              </w:rPr>
              <w:t xml:space="preserve">search-scientific-studies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Sem extração de figuras (VLM)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Gemini Pro Vision Stage 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Sem cross-validation MedQA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Eval suite dedicada</w:t>
            </w:r>
          </w:p>
        </w:tc>
      </w:tr>
    </w:tbl>
    <w:bookmarkEnd w:id="77"/>
    <w:bookmarkStart w:id="78" w:name="riscos-5"/>
    <w:p>
      <w:pPr>
        <w:pStyle w:val="Heading3"/>
      </w:pPr>
      <w:r>
        <w:t xml:space="preserve">23.2 Riscos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Controle existente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Triplet incorreto aprovado por confidence ≥ 0,50 sem revisão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Limiar conservador + revisão amostral mensal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Recomendação extrapolada de espécie não-canina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Escopo declarado + gap #3 em 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Drift de modelo LLM sem detecção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ai_task_invocations</w:t>
            </w:r>
            <w:r>
              <w:t xml:space="preserve"> </w:t>
            </w:r>
            <w:r>
              <w:t xml:space="preserve">permite eval retroativa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Custo IA acima do orçado em pico de uso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COST_PER_1K</w:t>
            </w:r>
            <w:r>
              <w:t xml:space="preserve"> </w:t>
            </w:r>
            <w:r>
              <w:t xml:space="preserve">no router + alerta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RLS bypass por edge function com</w:t>
            </w:r>
            <w:r>
              <w:t xml:space="preserve"> </w:t>
            </w:r>
            <w:r>
              <w:rPr>
                <w:rStyle w:val="VerbatimChar"/>
              </w:rPr>
              <w:t xml:space="preserve">service_role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Code review + lint</w:t>
            </w:r>
            <w:r>
              <w:t xml:space="preserve"> </w:t>
            </w:r>
            <w:r>
              <w:rPr>
                <w:rStyle w:val="VerbatimChar"/>
              </w:rPr>
              <w:t xml:space="preserve">supabase--linter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roadmap-p0p3-detalhado"/>
    <w:p>
      <w:pPr>
        <w:pStyle w:val="Heading2"/>
      </w:pPr>
      <w:r>
        <w:t xml:space="preserve">24. Roadmap P0–P3 detalhado</w:t>
      </w:r>
    </w:p>
    <w:p>
      <w:pPr>
        <w:pStyle w:val="FirstParagraph"/>
      </w:pPr>
      <w:r>
        <w:rPr>
          <w:b/>
          <w:bCs/>
        </w:rPr>
        <w:t xml:space="preserve">P0 — Bloqueia pleito regulatório formal</w:t>
      </w:r>
      <w:r>
        <w:t xml:space="preserve"> </w:t>
      </w:r>
      <w:r>
        <w:t xml:space="preserve">(8–12 semanas):</w:t>
      </w:r>
      <w:r>
        <w:t xml:space="preserve"> </w:t>
      </w:r>
      <w:r>
        <w:t xml:space="preserve">- Implementar</w:t>
      </w:r>
      <w:r>
        <w:t xml:space="preserve"> </w:t>
      </w:r>
      <w:r>
        <w:rPr>
          <w:rStyle w:val="VerbatimChar"/>
        </w:rPr>
        <w:t xml:space="preserve">clinical_outcomes</w:t>
      </w:r>
      <w:r>
        <w:t xml:space="preserve"> </w:t>
      </w:r>
      <w:r>
        <w:t xml:space="preserve">+ cron RWPM (gap #1)</w:t>
      </w:r>
      <w:r>
        <w:t xml:space="preserve"> </w:t>
      </w:r>
      <w:r>
        <w:t xml:space="preserve">- Curadoria manual L1–L3 (gap #2) — meta: 95% manual</w:t>
      </w:r>
      <w:r>
        <w:t xml:space="preserve"> </w:t>
      </w:r>
      <w:r>
        <w:t xml:space="preserve">- Validação species_constraint em triplets (gap #3)</w:t>
      </w:r>
      <w:r>
        <w:t xml:space="preserve"> </w:t>
      </w:r>
      <w:r>
        <w:t xml:space="preserve">- Documentar PCCP (gap #4) + revisão jurídica</w:t>
      </w:r>
    </w:p>
    <w:p>
      <w:pPr>
        <w:pStyle w:val="BodyText"/>
      </w:pPr>
      <w:r>
        <w:rPr>
          <w:b/>
          <w:bCs/>
        </w:rPr>
        <w:t xml:space="preserve">P1 — Maturidade clínica e regulatória</w:t>
      </w:r>
      <w:r>
        <w:t xml:space="preserve"> </w:t>
      </w:r>
      <w:r>
        <w:t xml:space="preserve">(12–24 semanas):</w:t>
      </w:r>
      <w:r>
        <w:t xml:space="preserve"> </w:t>
      </w:r>
      <w:r>
        <w:t xml:space="preserve">- Vetorização retroativa (gap #5)</w:t>
      </w:r>
      <w:r>
        <w:t xml:space="preserve"> </w:t>
      </w:r>
      <w:r>
        <w:t xml:space="preserve">- Módulo CE (gap #6)</w:t>
      </w:r>
      <w:r>
        <w:t xml:space="preserve"> </w:t>
      </w:r>
      <w:r>
        <w:t xml:space="preserve">- Calibração Gompertz completa 81 raças (gap #7)</w:t>
      </w:r>
      <w:r>
        <w:t xml:space="preserve"> </w:t>
      </w:r>
      <w:r>
        <w:t xml:space="preserve">- Auditoria de bias trimestral (gap #8)</w:t>
      </w:r>
    </w:p>
    <w:p>
      <w:pPr>
        <w:pStyle w:val="BodyText"/>
      </w:pPr>
      <w:r>
        <w:rPr>
          <w:b/>
          <w:bCs/>
        </w:rPr>
        <w:t xml:space="preserve">P2 — Expansão funcional</w:t>
      </w:r>
      <w:r>
        <w:t xml:space="preserve"> </w:t>
      </w:r>
      <w:r>
        <w:t xml:space="preserve">(24–36 semanas):</w:t>
      </w:r>
      <w:r>
        <w:t xml:space="preserve"> </w:t>
      </w:r>
      <w:r>
        <w:t xml:space="preserve">- Alertas push de revisão (gap #9)</w:t>
      </w:r>
      <w:r>
        <w:t xml:space="preserve"> </w:t>
      </w:r>
      <w:r>
        <w:t xml:space="preserve">- Integração Europe PMC / bioRxiv (gap #10)</w:t>
      </w:r>
    </w:p>
    <w:p>
      <w:pPr>
        <w:pStyle w:val="BodyText"/>
      </w:pPr>
      <w:r>
        <w:rPr>
          <w:b/>
          <w:bCs/>
        </w:rPr>
        <w:t xml:space="preserve">P3 — Pesquisa &amp; inovação</w:t>
      </w:r>
      <w:r>
        <w:t xml:space="preserve"> </w:t>
      </w:r>
      <w:r>
        <w:t xml:space="preserve">(36+ semanas):</w:t>
      </w:r>
      <w:r>
        <w:t xml:space="preserve"> </w:t>
      </w:r>
      <w:r>
        <w:t xml:space="preserve">- VLM Stage 1.5 (gap #11)</w:t>
      </w:r>
      <w:r>
        <w:t xml:space="preserve"> </w:t>
      </w:r>
      <w:r>
        <w:t xml:space="preserve">- Cross-validation MedQA (gap #12)</w:t>
      </w:r>
    </w:p>
    <w:p>
      <w:r>
        <w:pict>
          <v:rect style="width:0;height:1.5pt" o:hralign="center" o:hrstd="t" o:hr="t"/>
        </w:pict>
      </w:r>
    </w:p>
    <w:bookmarkEnd w:id="80"/>
    <w:bookmarkStart w:id="81" w:name="X01ff128a9dc108ad8f44caf444084649be3c053"/>
    <w:p>
      <w:pPr>
        <w:pStyle w:val="Heading2"/>
      </w:pPr>
      <w:r>
        <w:t xml:space="preserve">25. Apêndice A — Schema SQL principal (DDL real, abreviado)</w:t>
      </w:r>
    </w:p>
    <w:p>
      <w:pPr>
        <w:pStyle w:val="SourceCode"/>
      </w:pPr>
      <w:r>
        <w:rPr>
          <w:rStyle w:val="CommentTok"/>
        </w:rPr>
        <w:t xml:space="preserve">-- user_roles (separado de profiles — anti-recursão de RLS)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.app_role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'tutor'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.user_roles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auth.users(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app_role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(user_id,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.user_roles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.user_roles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service_role;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.user_roles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.has_role(_user_id uuid, _role app_role)</w:t>
      </w:r>
      <w:r>
        <w:br/>
      </w:r>
      <w:r>
        <w:rPr>
          <w:rStyle w:val="NormalTok"/>
        </w:rPr>
        <w:t xml:space="preserve">RETURNS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LANGUAGE sql STABLE SECURITY </w:t>
      </w:r>
      <w:r>
        <w:rPr>
          <w:rStyle w:val="KeywordTok"/>
        </w:rPr>
        <w:t xml:space="preserve">DEFINER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br/>
      </w:r>
      <w:r>
        <w:rPr>
          <w:rStyle w:val="KeywordTok"/>
        </w:rPr>
        <w:t xml:space="preserve">AS</w:t>
      </w:r>
      <w:r>
        <w:rPr>
          <w:rStyle w:val="NormalTok"/>
        </w:rPr>
        <w:t xml:space="preserve"> $$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.user_roles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_user_id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_role) $$;</w:t>
      </w:r>
      <w:r>
        <w:br/>
      </w:r>
      <w:r>
        <w:br/>
      </w:r>
      <w:r>
        <w:rPr>
          <w:rStyle w:val="CommentTok"/>
        </w:rPr>
        <w:t xml:space="preserve">-- triplet_extractions (curadoria gatekeeper)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.triplet_extractions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study_id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.scientific_studies(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subject_name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predicate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object_name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subject_type text, object_type text,</w:t>
      </w:r>
      <w:r>
        <w:br/>
      </w:r>
      <w:r>
        <w:rPr>
          <w:rStyle w:val="NormalTok"/>
        </w:rPr>
        <w:t xml:space="preserve">  evidence_level text, intensity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 confidence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species text, breed text,</w:t>
      </w:r>
      <w:r>
        <w:br/>
      </w:r>
      <w:r>
        <w:rPr>
          <w:rStyle w:val="NormalTok"/>
        </w:rPr>
        <w:t xml:space="preserve">  curation_status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pending|approved|rejected</w:t>
      </w:r>
      <w:r>
        <w:br/>
      </w:r>
      <w:r>
        <w:rPr>
          <w:rStyle w:val="NormalTok"/>
        </w:rPr>
        <w:t xml:space="preserve">  synced_to_neo4j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source_chunk_id uuid, created_at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 updated_at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hierarchical_edges (KG materializado)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.hierarchical_edges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source_id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source_type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target_id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target_type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relationship text, confidence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 evidence_count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evidence_level text, triplet_id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.triplet_extractions(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ai_prompt_versions (governança IA)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.ai_prompt_versions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task_id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model_id text,</w:t>
      </w:r>
      <w:r>
        <w:br/>
      </w:r>
      <w:r>
        <w:rPr>
          <w:rStyle w:val="NormalTok"/>
        </w:rPr>
        <w:t xml:space="preserve">  system_prompt text, user_prompt text,</w:t>
      </w:r>
      <w:r>
        <w:br/>
      </w:r>
      <w:r>
        <w:rPr>
          <w:rStyle w:val="NormalTok"/>
        </w:rPr>
        <w:t xml:space="preserve">  is_active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 updated_at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81"/>
    <w:bookmarkStart w:id="82" w:name="Xf3e3cc7e22e6edbc2ab7f1872a6ca2f0e1043d5"/>
    <w:p>
      <w:pPr>
        <w:pStyle w:val="Heading2"/>
      </w:pPr>
      <w:r>
        <w:t xml:space="preserve">26. Apêndice B — Inventário de Edge Functions (67 deployadas)</w:t>
      </w:r>
    </w:p>
    <w:p>
      <w:pPr>
        <w:pStyle w:val="FirstParagraph"/>
      </w:pPr>
      <w:r>
        <w:t xml:space="preserve">Listagem real de</w:t>
      </w:r>
      <w:r>
        <w:t xml:space="preserve"> </w:t>
      </w:r>
      <w:r>
        <w:rPr>
          <w:rStyle w:val="VerbatimChar"/>
        </w:rPr>
        <w:t xml:space="preserve">supabase/functions/</w:t>
      </w:r>
      <w:r>
        <w:t xml:space="preserve"> </w:t>
      </w:r>
      <w:r>
        <w:t xml:space="preserve">em 31/05/2026, agrupada por domínio:</w:t>
      </w:r>
    </w:p>
    <w:p>
      <w:pPr>
        <w:pStyle w:val="BodyText"/>
      </w:pPr>
      <w:r>
        <w:rPr>
          <w:b/>
          <w:bCs/>
        </w:rPr>
        <w:t xml:space="preserve">Pipeline de estudos (10)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parse-study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vectorize-study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extract-study-entities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generate-triplets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enrich-triplet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enrichment-qa-sample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process-study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sync-approved-triplets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sync-study-to-neo4j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auto-tag-studies</w:t>
      </w:r>
    </w:p>
    <w:p>
      <w:pPr>
        <w:pStyle w:val="BodyText"/>
      </w:pPr>
      <w:r>
        <w:rPr>
          <w:b/>
          <w:bCs/>
        </w:rPr>
        <w:t xml:space="preserve">KG / Ontologia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consolidate-knowledge-graph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enrich-knowledge-graph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import-canonical-ids</w:t>
      </w:r>
      <w:r>
        <w:t xml:space="preserve">,</w:t>
      </w:r>
      <w:r>
        <w:t xml:space="preserve"> </w:t>
      </w:r>
      <w:r>
        <w:rPr>
          <w:rStyle w:val="VerbatimChar"/>
        </w:rPr>
        <w:t xml:space="preserve">kg-evidence-gap-fill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kg-missing-triplets</w:t>
      </w:r>
      <w:r>
        <w:t xml:space="preserve">,</w:t>
      </w:r>
      <w:r>
        <w:t xml:space="preserve"> </w:t>
      </w:r>
      <w:r>
        <w:rPr>
          <w:rStyle w:val="VerbatimChar"/>
        </w:rPr>
        <w:t xml:space="preserve">neo4j-sync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sync-ontology-to-neo4j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classify-entity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relations-auditor</w:t>
      </w:r>
    </w:p>
    <w:p>
      <w:pPr>
        <w:pStyle w:val="BodyText"/>
      </w:pPr>
      <w:r>
        <w:rPr>
          <w:b/>
          <w:bCs/>
        </w:rPr>
        <w:t xml:space="preserve">RAG / Chat (6)</w:t>
      </w:r>
      <w:r>
        <w:t xml:space="preserve">: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chat-meta-study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graph-rag-search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gemini-file-search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test-rag-similarity</w:t>
      </w:r>
    </w:p>
    <w:p>
      <w:pPr>
        <w:pStyle w:val="BodyText"/>
      </w:pPr>
      <w:r>
        <w:rPr>
          <w:b/>
          <w:bCs/>
        </w:rPr>
        <w:t xml:space="preserve">Clínico / Recomendação (10)</w:t>
      </w:r>
      <w:r>
        <w:t xml:space="preserve">:</w:t>
      </w:r>
      <w:r>
        <w:t xml:space="preserve"> </w:t>
      </w:r>
      <w:r>
        <w:rPr>
          <w:rStyle w:val="VerbatimChar"/>
        </w:rPr>
        <w:t xml:space="preserve">extract-pet-clinical-data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parse-pet-exam-pdf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condition-insights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check-insight-originality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hybrid-recommendation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calculate-recommendation-confidence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project-pet-trajectory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evaluate-meta-study-reliability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extract-meta-study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generate-meta-study-cover</w:t>
      </w:r>
    </w:p>
    <w:p>
      <w:pPr>
        <w:pStyle w:val="BodyText"/>
      </w:pPr>
      <w:r>
        <w:rPr>
          <w:b/>
          <w:bCs/>
        </w:rPr>
        <w:t xml:space="preserve">Coortes / Análise populacional (7)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analyze-all-cohorts-patterns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analyze-cohort-patterns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check-cohort-originality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finalize-stalled-cohort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generate-synthetic-cohort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suggest-cohort-ideas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migrate-nutraceutical-conditions</w:t>
      </w:r>
    </w:p>
    <w:p>
      <w:pPr>
        <w:pStyle w:val="BodyText"/>
      </w:pPr>
      <w:r>
        <w:rPr>
          <w:b/>
          <w:bCs/>
        </w:rPr>
        <w:t xml:space="preserve">Governança IA (7)</w:t>
      </w:r>
      <w:r>
        <w:t xml:space="preserve">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ai-task-healthcheck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ai-task-test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api-usage-stats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provider-health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sync-system-prompts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backfill-triplet-enrichment</w:t>
      </w:r>
    </w:p>
    <w:p>
      <w:pPr>
        <w:pStyle w:val="BodyText"/>
      </w:pPr>
      <w:r>
        <w:rPr>
          <w:b/>
          <w:bCs/>
        </w:rPr>
        <w:t xml:space="preserve">Tradução &amp; i18n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translate-text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translate-conditions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translate-and-categorize-conditions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run-translation-audit</w:t>
      </w:r>
    </w:p>
    <w:p>
      <w:pPr>
        <w:pStyle w:val="BodyText"/>
      </w:pPr>
      <w:r>
        <w:rPr>
          <w:b/>
          <w:bCs/>
        </w:rPr>
        <w:t xml:space="preserve">Catálogos &amp; enrich externo (10)</w:t>
      </w:r>
      <w:r>
        <w:t xml:space="preserve">:</w:t>
      </w:r>
      <w:r>
        <w:t xml:space="preserve"> </w:t>
      </w:r>
      <w:r>
        <w:rPr>
          <w:rStyle w:val="VerbatimChar"/>
        </w:rPr>
        <w:t xml:space="preserve">bulk-enrich-pet-food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enrich-pet-food-product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process-nutraceutical-spreadsheet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web-dosage-lookup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fetch-external-ontologies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search-scientific-studies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download-study-pdf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perplexity-health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query-perplexity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suggest-taxonomy-terms</w:t>
      </w:r>
    </w:p>
    <w:p>
      <w:pPr>
        <w:pStyle w:val="BodyText"/>
      </w:pPr>
      <w:r>
        <w:rPr>
          <w:b/>
          <w:bCs/>
        </w:rPr>
        <w:t xml:space="preserve">Outros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admin-create-user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invoxia-api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batch-reprocess-triplets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run-migrations</w:t>
      </w:r>
    </w:p>
    <w:p>
      <w:pPr>
        <w:pStyle w:val="BodyText"/>
      </w:pPr>
      <w:r>
        <w:t xml:space="preserve">Todas operam com</w:t>
      </w:r>
      <w:r>
        <w:t xml:space="preserve"> </w:t>
      </w:r>
      <w:r>
        <w:rPr>
          <w:rStyle w:val="VerbatimChar"/>
        </w:rPr>
        <w:t xml:space="preserve">verify_jwt=false</w:t>
      </w:r>
      <w:r>
        <w:t xml:space="preserve"> </w:t>
      </w:r>
      <w:r>
        <w:t xml:space="preserve">+ validação JWT em código (signing-keys system).</w:t>
      </w:r>
    </w:p>
    <w:p>
      <w:r>
        <w:pict>
          <v:rect style="width:0;height:1.5pt" o:hralign="center" o:hrstd="t" o:hr="t"/>
        </w:pict>
      </w:r>
    </w:p>
    <w:bookmarkEnd w:id="82"/>
    <w:bookmarkStart w:id="83" w:name="Xc52daa03576905443dfd21b12cd53e0bd45732b"/>
    <w:p>
      <w:pPr>
        <w:pStyle w:val="Heading2"/>
      </w:pPr>
      <w:r>
        <w:t xml:space="preserve">27. Apêndice C — Prompts e modelos LLM (snapshot 8 ativos)</w:t>
      </w:r>
    </w:p>
    <w:p>
      <w:pPr>
        <w:pStyle w:val="FirstParagraph"/>
      </w:pPr>
      <w:r>
        <w:t xml:space="preserve">Snapshot de</w:t>
      </w:r>
      <w:r>
        <w:t xml:space="preserve"> </w:t>
      </w:r>
      <w:r>
        <w:rPr>
          <w:rStyle w:val="VerbatimChar"/>
        </w:rPr>
        <w:t xml:space="preserve">ai_prompt_versions WHERE is_active=true</w:t>
      </w:r>
      <w:r>
        <w:t xml:space="preserve"> </w:t>
      </w:r>
      <w:r>
        <w:t xml:space="preserve">em 31/05/2026: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reasoning_effort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extract_entities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google/gemini-2.5-flash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generate_triplets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google/gemini-2.5-pro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enrich_triplet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google/gemini-2.5-flash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classify_entity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google/gemini-2.5-flash-lite</w:t>
            </w:r>
          </w:p>
        </w:tc>
        <w:tc>
          <w:tcPr/>
          <w:p>
            <w:pPr>
              <w:pStyle w:val="Compact"/>
            </w:pPr>
            <w:r>
              <w:t xml:space="preserve">minimal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chat_clinical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google/gemini-3-flash-preview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gap_fill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openai/gpt-5-mini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relations_auditor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google/gemini-2.5-pro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digital_twin_project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google/gemini-2.5-flash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p>
      <w:pPr>
        <w:pStyle w:val="BodyText"/>
      </w:pPr>
      <w:r>
        <w:t xml:space="preserve">Ativação via</w:t>
      </w:r>
      <w:r>
        <w:t xml:space="preserve"> </w:t>
      </w:r>
      <w:r>
        <w:rPr>
          <w:rStyle w:val="VerbatimChar"/>
        </w:rPr>
        <w:t xml:space="preserve">activate_ai_prompt_version(uuid)</w:t>
      </w:r>
      <w:r>
        <w:t xml:space="preserve"> </w:t>
      </w:r>
      <w:r>
        <w:t xml:space="preserve">(security-definer, admin-only). Trigger</w:t>
      </w:r>
      <w:r>
        <w:t xml:space="preserve"> </w:t>
      </w:r>
      <w:r>
        <w:rPr>
          <w:rStyle w:val="VerbatimChar"/>
        </w:rPr>
        <w:t xml:space="preserve">ai_prompt_versions_enforce_single_active</w:t>
      </w:r>
      <w:r>
        <w:t xml:space="preserve"> </w:t>
      </w:r>
      <w:r>
        <w:t xml:space="preserve">garante atomicidade (apenas 1 ativo por par</w:t>
      </w:r>
      <w:r>
        <w:t xml:space="preserve"> </w:t>
      </w:r>
      <w:r>
        <w:rPr>
          <w:rStyle w:val="VerbatimChar"/>
        </w:rPr>
        <w:t xml:space="preserve">task_id × model_id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7" w:name="Xb9eb9345495fc69933247388f8bbc6dfdfe50c9"/>
    <w:p>
      <w:pPr>
        <w:pStyle w:val="Heading2"/>
      </w:pPr>
      <w:r>
        <w:t xml:space="preserve">28. Apêndice D — Métricas operacionais (snapshot 31/05/2026)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Métricas de sistema" title="" id="85" name="Picture"/>
            <a:graphic>
              <a:graphicData uri="http://schemas.openxmlformats.org/drawingml/2006/picture">
                <pic:pic>
                  <pic:nvPicPr>
                    <pic:cNvPr descr="media/09_metric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Métricas de sistema</w:t>
      </w:r>
    </w:p>
    <w:p>
      <w:pPr>
        <w:pStyle w:val="BodyText"/>
      </w:pPr>
      <w:r>
        <w:rPr>
          <w:i/>
          <w:iCs/>
        </w:rPr>
        <w:t xml:space="preserve">Figura 8 — Snapshot quantitativo do estado atual da plataforma Senex AI.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Domínio</w:t>
            </w:r>
          </w:p>
        </w:tc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Estudos</w:t>
            </w:r>
          </w:p>
        </w:tc>
        <w:tc>
          <w:tcPr/>
          <w:p>
            <w:pPr>
              <w:pStyle w:val="Compact"/>
            </w:pPr>
            <w:r>
              <w:t xml:space="preserve">Catalogados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Processados (pipeline completo)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Vetorizados (distinct)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Chunks vetoriais</w:t>
            </w:r>
          </w:p>
        </w:tc>
        <w:tc>
          <w:tcPr/>
          <w:p>
            <w:pPr>
              <w:pStyle w:val="Compact"/>
            </w:pPr>
            <w:r>
              <w:t xml:space="preserve">1.342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Meta-estudos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Graph</w:t>
            </w:r>
          </w:p>
        </w:tc>
        <w:tc>
          <w:tcPr/>
          <w:p>
            <w:pPr>
              <w:pStyle w:val="Compact"/>
            </w:pPr>
            <w:r>
              <w:t xml:space="preserve">Triplets extraídos</w:t>
            </w:r>
          </w:p>
        </w:tc>
        <w:tc>
          <w:tcPr/>
          <w:p>
            <w:pPr>
              <w:pStyle w:val="Compact"/>
            </w:pPr>
            <w:r>
              <w:t xml:space="preserve">4.785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Triplets aprovados</w:t>
            </w:r>
          </w:p>
        </w:tc>
        <w:tc>
          <w:tcPr/>
          <w:p>
            <w:pPr>
              <w:pStyle w:val="Compact"/>
            </w:pPr>
            <w:r>
              <w:t xml:space="preserve">3.924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Triplets sincronizados</w:t>
            </w:r>
          </w:p>
        </w:tc>
        <w:tc>
          <w:tcPr/>
          <w:p>
            <w:pPr>
              <w:pStyle w:val="Compact"/>
            </w:pPr>
            <w:r>
              <w:t xml:space="preserve">4.411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Arestas hierárquicas</w:t>
            </w:r>
          </w:p>
        </w:tc>
        <w:tc>
          <w:tcPr/>
          <w:p>
            <w:pPr>
              <w:pStyle w:val="Compact"/>
            </w:pPr>
            <w:r>
              <w:t xml:space="preserve">38.643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Nós ontologia veterinária</w:t>
            </w:r>
          </w:p>
        </w:tc>
        <w:tc>
          <w:tcPr/>
          <w:p>
            <w:pPr>
              <w:pStyle w:val="Compact"/>
            </w:pPr>
            <w:r>
              <w:t xml:space="preserve">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Conhecimento clínico</w:t>
            </w:r>
          </w:p>
        </w:tc>
        <w:tc>
          <w:tcPr/>
          <w:p>
            <w:pPr>
              <w:pStyle w:val="Compact"/>
            </w:pPr>
            <w:r>
              <w:t xml:space="preserve">Condições curadas</w:t>
            </w:r>
          </w:p>
        </w:tc>
        <w:tc>
          <w:tcPr/>
          <w:p>
            <w:pPr>
              <w:pStyle w:val="Compact"/>
            </w:pPr>
            <w:r>
              <w:t xml:space="preserve">191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Nutracêuticos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Drug substances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Predisposições raciais</w:t>
            </w:r>
          </w:p>
        </w:tc>
        <w:tc>
          <w:tcPr/>
          <w:p>
            <w:pPr>
              <w:pStyle w:val="Compact"/>
            </w:pPr>
            <w:r>
              <w:t xml:space="preserve">254 (81 raças)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reference ranges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Compound dosage reference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rules &amp; taxonomy</w:t>
            </w:r>
          </w:p>
        </w:tc>
        <w:tc>
          <w:tcPr/>
          <w:p>
            <w:pPr>
              <w:pStyle w:val="Compact"/>
            </w:pPr>
            <w:r>
              <w:t xml:space="preserve">Core rules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Taxonomy dictionaries ativos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Pacientes</w:t>
            </w:r>
          </w:p>
        </w:tc>
        <w:tc>
          <w:tcPr/>
          <w:p>
            <w:pPr>
              <w:pStyle w:val="Compact"/>
            </w:pPr>
            <w:r>
              <w:t xml:space="preserve">Perfis totais</w:t>
            </w:r>
          </w:p>
        </w:tc>
        <w:tc>
          <w:tcPr/>
          <w:p>
            <w:pPr>
              <w:pStyle w:val="Compact"/>
            </w:pPr>
            <w:r>
              <w:t xml:space="preserve">668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Demo (</w:t>
            </w:r>
            <w:r>
              <w:rPr>
                <w:rStyle w:val="VerbatimChar"/>
              </w:rPr>
              <w:t xml:space="preserve">is_demo=true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Governança IA</w:t>
            </w:r>
          </w:p>
        </w:tc>
        <w:tc>
          <w:tcPr/>
          <w:p>
            <w:pPr>
              <w:pStyle w:val="Compact"/>
            </w:pPr>
            <w:r>
              <w:t xml:space="preserve">Prompts versionados</w:t>
            </w:r>
          </w:p>
        </w:tc>
        <w:tc>
          <w:tcPr/>
          <w:p>
            <w:pPr>
              <w:pStyle w:val="Compact"/>
            </w:pPr>
            <w:r>
              <w:t xml:space="preserve">8 (8 ativos)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Invocações auditadas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Auditoria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3 (1 pendente)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Audits gerados</w:t>
            </w:r>
          </w:p>
        </w:tc>
        <w:tc>
          <w:tcPr/>
          <w:p>
            <w:pPr>
              <w:pStyle w:val="Compact"/>
            </w:pPr>
            <w:r>
              <w:t xml:space="preserve">2 (v3, v5.1.0)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Acesso</w:t>
            </w:r>
          </w:p>
        </w:tc>
        <w:tc>
          <w:tcPr/>
          <w:p>
            <w:pPr>
              <w:pStyle w:val="Compact"/>
            </w:pPr>
            <w:r>
              <w:t xml:space="preserve">User roles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Infraestrutura</w:t>
            </w:r>
          </w:p>
        </w:tc>
        <w:tc>
          <w:tcPr/>
          <w:p>
            <w:pPr>
              <w:pStyle w:val="Compact"/>
            </w:pPr>
            <w:r>
              <w:t xml:space="preserve">Edge Functions deployadas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Tabelas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I18N_VERSION</w:t>
            </w:r>
          </w:p>
        </w:tc>
        <w:tc>
          <w:tcPr/>
          <w:p>
            <w:pPr>
              <w:pStyle w:val="Compact"/>
            </w:pPr>
            <w:r>
              <w:t xml:space="preserve">1.86.7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bibliografia-rodapés-114"/>
    <w:p>
      <w:pPr>
        <w:pStyle w:val="Heading2"/>
      </w:pPr>
      <w:r>
        <w:t xml:space="preserve">29. Bibliografia (rodapés [1]–[14])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Auditoria gerada em 31 de maio de 2026 por Lovable Agent · Equipe PetMoreTime · Senex AI v5.1.0 · Auto-auditoria first-party · Recomenda-se auditoria independente de terceiros como item P1 antes de pleito regulatório formal.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Wu et al.,</w:t>
      </w:r>
      <w:r>
        <w:t xml:space="preserve"> </w:t>
      </w:r>
      <w:r>
        <w:rPr>
          <w:b/>
          <w:bCs/>
        </w:rPr>
        <w:t xml:space="preserve">MedGraphRAG: Towards Safe Medical Large Language Model via Graph Retrieval-Augmented Generation</w:t>
      </w:r>
      <w:r>
        <w:t xml:space="preserve">, Oxford 2024. arXiv:2408.04187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Edge et al.,</w:t>
      </w:r>
      <w:r>
        <w:t xml:space="preserve"> </w:t>
      </w:r>
      <w:r>
        <w:rPr>
          <w:b/>
          <w:bCs/>
        </w:rPr>
        <w:t xml:space="preserve">From Local to Global: A Graph RAG Approach to Query-Focused Summarization</w:t>
      </w:r>
      <w:r>
        <w:t xml:space="preserve">, Microsoft Research 2024. arXiv:2404.16130</w:t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U.S. FDA,</w:t>
      </w:r>
      <w:r>
        <w:t xml:space="preserve"> </w:t>
      </w:r>
      <w:r>
        <w:rPr>
          <w:b/>
          <w:bCs/>
        </w:rPr>
        <w:t xml:space="preserve">Draft Guidance: Considerations for the Use of Artificial Intelligence to Support Regulatory Decision-Making for Drug and Biological Products</w:t>
      </w:r>
      <w:r>
        <w:t xml:space="preserve">, Jan/2025.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European Medicines Agency,</w:t>
      </w:r>
      <w:r>
        <w:t xml:space="preserve"> </w:t>
      </w:r>
      <w:r>
        <w:rPr>
          <w:b/>
          <w:bCs/>
        </w:rPr>
        <w:t xml:space="preserve">Reflection Paper on the use of AI in the medicinal product lifecycle</w:t>
      </w:r>
      <w:r>
        <w:t xml:space="preserve">, Set/2024.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European Union,</w:t>
      </w:r>
      <w:r>
        <w:t xml:space="preserve"> </w:t>
      </w:r>
      <w:r>
        <w:rPr>
          <w:b/>
          <w:bCs/>
        </w:rPr>
        <w:t xml:space="preserve">Regulation (EU) 2024/1689 (AI Act)</w:t>
      </w:r>
      <w:r>
        <w:t xml:space="preserve">, OJ L, 12 Jul 2024.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AVMA,</w:t>
      </w:r>
      <w:r>
        <w:t xml:space="preserve"> </w:t>
      </w:r>
      <w:r>
        <w:rPr>
          <w:b/>
          <w:bCs/>
        </w:rPr>
        <w:t xml:space="preserve">Framework on AI in Veterinary Medicine</w:t>
      </w:r>
      <w:r>
        <w:t xml:space="preserve">, Nov/2025.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FDA/Health Canada/MHRA,</w:t>
      </w:r>
      <w:r>
        <w:t xml:space="preserve"> </w:t>
      </w:r>
      <w:r>
        <w:rPr>
          <w:b/>
          <w:bCs/>
        </w:rPr>
        <w:t xml:space="preserve">Good Machine Learning Practice — 10 Guiding Principles</w:t>
      </w:r>
      <w:r>
        <w:t xml:space="preserve">, 2021.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AAVSB,</w:t>
      </w:r>
      <w:r>
        <w:t xml:space="preserve"> </w:t>
      </w:r>
      <w:r>
        <w:rPr>
          <w:b/>
          <w:bCs/>
        </w:rPr>
        <w:t xml:space="preserve">Position Statement on AI in Veterinary Practice</w:t>
      </w:r>
      <w:r>
        <w:t xml:space="preserve">, 2025.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U.S. FDA,</w:t>
      </w:r>
      <w:r>
        <w:t xml:space="preserve"> </w:t>
      </w:r>
      <w:r>
        <w:rPr>
          <w:b/>
          <w:bCs/>
        </w:rPr>
        <w:t xml:space="preserve">Draft Guidance: Considerations for the Use of Artificial Intelligence to Support Regulatory Decision-Making for Drug and Biological Products</w:t>
      </w:r>
      <w:r>
        <w:t xml:space="preserve">, Jan/2025.</w:t>
      </w:r>
    </w:p>
  </w:footnote>
  <w:footnote w:id="6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European Medicines Agency,</w:t>
      </w:r>
      <w:r>
        <w:t xml:space="preserve"> </w:t>
      </w:r>
      <w:r>
        <w:rPr>
          <w:b/>
          <w:bCs/>
        </w:rPr>
        <w:t xml:space="preserve">Reflection Paper on the use of AI in the medicinal product lifecycle</w:t>
      </w:r>
      <w:r>
        <w:t xml:space="preserve">, Set/2024.</w:t>
      </w:r>
    </w:p>
  </w:footnote>
  <w:footnote w:id="6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European Union,</w:t>
      </w:r>
      <w:r>
        <w:t xml:space="preserve"> </w:t>
      </w:r>
      <w:r>
        <w:rPr>
          <w:b/>
          <w:bCs/>
        </w:rPr>
        <w:t xml:space="preserve">Regulation (EU) 2024/1689 (AI Act)</w:t>
      </w:r>
      <w:r>
        <w:t xml:space="preserve">, OJ L, 12 Jul 2024.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AVMA,</w:t>
      </w:r>
      <w:r>
        <w:t xml:space="preserve"> </w:t>
      </w:r>
      <w:r>
        <w:rPr>
          <w:b/>
          <w:bCs/>
        </w:rPr>
        <w:t xml:space="preserve">Framework on AI in Veterinary Medicine</w:t>
      </w:r>
      <w:r>
        <w:t xml:space="preserve">, Nov/2025.</w:t>
      </w:r>
    </w:p>
  </w:footnote>
  <w:footnote w:id="7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AAVSB,</w:t>
      </w:r>
      <w:r>
        <w:t xml:space="preserve"> </w:t>
      </w:r>
      <w:r>
        <w:rPr>
          <w:b/>
          <w:bCs/>
        </w:rPr>
        <w:t xml:space="preserve">Position Statement on AI in Veterinary Practice</w:t>
      </w:r>
      <w:r>
        <w:t xml:space="preserve">, 2025.</w:t>
      </w:r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FDA/Health Canada/MHRA,</w:t>
      </w:r>
      <w:r>
        <w:t xml:space="preserve"> </w:t>
      </w:r>
      <w:r>
        <w:rPr>
          <w:b/>
          <w:bCs/>
        </w:rPr>
        <w:t xml:space="preserve">Good Machine Learning Practice — 10 Guiding Principles</w:t>
      </w:r>
      <w:r>
        <w:t xml:space="preserve">, 2021.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12" Target="media/rId12.png" /><Relationship Type="http://schemas.openxmlformats.org/officeDocument/2006/relationships/image" Id="rId84" Target="media/rId84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Auditoria Técnica Senex AI v5.1.0</dc:title>
  <dc:creator>Lovable Agent · Equipe PetMoreTime</dc:creator>
  <dc:language>pt-BR</dc:language>
  <cp:keywords/>
  <dcterms:created xsi:type="dcterms:W3CDTF">2026-05-31T02:56:12Z</dcterms:created>
  <dcterms:modified xsi:type="dcterms:W3CDTF">2026-05-31T02:56:12Z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31 de maio de 2026</vt:lpwstr>
  </property>
  <property fmtid="{D5CDD505-2E9C-101B-9397-08002B2CF9AE}" pid="3" name="subtitle">
    <vt:lpwstr>Auto-Auditoria Técnica e Regulatória — Documento Executivo + Técnico Completo</vt:lpwstr>
  </property>
</Properties>
</file>