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8.png" ContentType="image/png"/>
  <Override PartName="/word/media/rId11.png" ContentType="image/png"/>
  <Override PartName="/word/media/rId14.png" ContentType="image/png"/>
  <Override PartName="/word/media/rId34.png" ContentType="image/png"/>
  <Override PartName="/word/media/rId22.png" ContentType="image/png"/>
  <Override PartName="/word/media/rId25.png" ContentType="image/png"/>
  <Override PartName="/word/media/rId3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VetGraphRAG</w:t>
      </w:r>
    </w:p>
    <w:p>
      <w:pPr>
        <w:pStyle w:val="BodyText"/>
      </w:pPr>
      <w:r>
        <w:t xml:space="preserve">Auto-Auditoria Técnica e Regulatória</w:t>
      </w:r>
    </w:p>
    <w:p>
      <w:pPr>
        <w:pStyle w:val="BodyText"/>
      </w:pPr>
      <w:r>
        <w:rPr>
          <w:i/>
          <w:iCs/>
        </w:rPr>
        <w:t xml:space="preserve">Versão 3.0 · Documento Executivo + Técnico Completo</w:t>
      </w:r>
    </w:p>
    <w:p>
      <w:pPr>
        <w:pStyle w:val="BodyText"/>
      </w:pPr>
      <w:r>
        <w:t xml:space="preserve">Pipeline · Vetorização · LLM · Knowledge Graph · Recomendação · Gêmeo Digital</w:t>
      </w:r>
    </w:p>
    <w:p>
      <w:pPr>
        <w:pStyle w:val="BodyText"/>
      </w:pPr>
      <w:r>
        <w:t xml:space="preserve">Mapeamento ponto a ponto FDA / EMA / EU AI Act / AVMA / GMLP</w:t>
      </w:r>
    </w:p>
    <w:p>
      <w:pPr>
        <w:pStyle w:val="BodyText"/>
      </w:pPr>
      <w:r>
        <w:t xml:space="preserve">Estado-da-arte 2025–2026 · 9 infográficos · 14 referências verificáveis</w:t>
      </w:r>
    </w:p>
    <w:p>
      <w:pPr>
        <w:pStyle w:val="BodyText"/>
      </w:pPr>
      <w:r>
        <w:t xml:space="preserve">Data: 10 de maio de 2026</w:t>
      </w:r>
    </w:p>
    <w:p>
      <w:pPr>
        <w:pStyle w:val="BodyText"/>
      </w:pPr>
      <w:r>
        <w:t xml:space="preserve">Escopo: canino, condições metabólicas e degenerativas</w:t>
      </w:r>
    </w:p>
    <w:p>
      <w:pPr>
        <w:pStyle w:val="BodyText"/>
      </w:pPr>
      <w:r>
        <w:t xml:space="preserve">Aproximadamente 40 páginas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pPr>
        <w:pStyle w:val="BodyText"/>
      </w:pPr>
      <w:r>
        <w:t xml:space="preserve">1. Sumário Executivo</w:t>
      </w:r>
    </w:p>
    <w:p>
      <w:pPr>
        <w:pStyle w:val="BodyText"/>
      </w:pPr>
      <w:r>
        <w:t xml:space="preserve">2. Glossário e convenções</w:t>
      </w:r>
    </w:p>
    <w:p>
      <w:pPr>
        <w:pStyle w:val="BodyText"/>
      </w:pPr>
      <w:r>
        <w:t xml:space="preserve">3. Metodologia da auto-auditoria</w:t>
      </w:r>
    </w:p>
    <w:p>
      <w:pPr>
        <w:pStyle w:val="BodyText"/>
      </w:pPr>
      <w:r>
        <w:t xml:space="preserve">4. Visão arquitetural — 5 camadas VetGraphRAG</w:t>
      </w:r>
    </w:p>
    <w:p>
      <w:pPr>
        <w:pStyle w:val="BodyText"/>
      </w:pPr>
      <w:r>
        <w:t xml:space="preserve">5. Pipeline de digestão de estudos (7 estágios)</w:t>
      </w:r>
    </w:p>
    <w:p>
      <w:pPr>
        <w:pStyle w:val="BodyText"/>
      </w:pPr>
      <w:r>
        <w:t xml:space="preserve">6. Vetorização e embeddings</w:t>
      </w:r>
    </w:p>
    <w:p>
      <w:pPr>
        <w:pStyle w:val="BodyText"/>
      </w:pPr>
      <w:r>
        <w:t xml:space="preserve">7. Banco de dados relacional e RLS</w:t>
      </w:r>
    </w:p>
    <w:p>
      <w:pPr>
        <w:pStyle w:val="BodyText"/>
      </w:pPr>
      <w:r>
        <w:t xml:space="preserve">8. Uso de LLM — onde, como, quais modelos</w:t>
      </w:r>
    </w:p>
    <w:p>
      <w:pPr>
        <w:pStyle w:val="BodyText"/>
      </w:pPr>
      <w:r>
        <w:t xml:space="preserve">9. Knowledge Graph (Neo4j + espelho Supabase)</w:t>
      </w:r>
    </w:p>
    <w:p>
      <w:pPr>
        <w:pStyle w:val="BodyText"/>
      </w:pPr>
      <w:r>
        <w:t xml:space="preserve">10. Análise do paciente — 6 estágios</w:t>
      </w:r>
    </w:p>
    <w:p>
      <w:pPr>
        <w:pStyle w:val="BodyText"/>
      </w:pPr>
      <w:r>
        <w:t xml:space="preserve">11. Sistema de recomendação híbrida</w:t>
      </w:r>
    </w:p>
    <w:p>
      <w:pPr>
        <w:pStyle w:val="BodyText"/>
      </w:pPr>
      <w:r>
        <w:t xml:space="preserve">12. Gêmeo Digital — projeção sigmoidal de desfechos</w:t>
      </w:r>
    </w:p>
    <w:p>
      <w:pPr>
        <w:pStyle w:val="BodyText"/>
      </w:pPr>
      <w:r>
        <w:t xml:space="preserve">13. Jornada real do revisor veterinário</w:t>
      </w:r>
    </w:p>
    <w:p>
      <w:pPr>
        <w:pStyle w:val="BodyText"/>
      </w:pPr>
      <w:r>
        <w:t xml:space="preserve">14. Jornada prevista do revisor (roadmap)</w:t>
      </w:r>
    </w:p>
    <w:p>
      <w:pPr>
        <w:pStyle w:val="BodyText"/>
      </w:pPr>
      <w:r>
        <w:t xml:space="preserve">15. Jornada real do estudo científico</w:t>
      </w:r>
    </w:p>
    <w:p>
      <w:pPr>
        <w:pStyle w:val="BodyText"/>
      </w:pPr>
      <w:r>
        <w:t xml:space="preserve">16. Jornada prevista do estudo (roadmap)</w:t>
      </w:r>
    </w:p>
    <w:p>
      <w:pPr>
        <w:pStyle w:val="BodyText"/>
      </w:pPr>
      <w:r>
        <w:t xml:space="preserve">17. Comparação MedGraphRAG × VetGraphRAG</w:t>
      </w:r>
    </w:p>
    <w:p>
      <w:pPr>
        <w:pStyle w:val="BodyText"/>
      </w:pPr>
      <w:r>
        <w:t xml:space="preserve">18. Conformidade FDA — matriz ponto a ponto</w:t>
      </w:r>
    </w:p>
    <w:p>
      <w:pPr>
        <w:pStyle w:val="BodyText"/>
      </w:pPr>
      <w:r>
        <w:t xml:space="preserve">19. Conformidade EMA + EU AI Act</w:t>
      </w:r>
    </w:p>
    <w:p>
      <w:pPr>
        <w:pStyle w:val="BodyText"/>
      </w:pPr>
      <w:r>
        <w:t xml:space="preserve">20. Conformidade AVMA / AAVSB</w:t>
      </w:r>
    </w:p>
    <w:p>
      <w:pPr>
        <w:pStyle w:val="BodyText"/>
      </w:pPr>
      <w:r>
        <w:t xml:space="preserve">21. GMLP — análise por princípio</w:t>
      </w:r>
    </w:p>
    <w:p>
      <w:pPr>
        <w:pStyle w:val="BodyText"/>
      </w:pPr>
      <w:r>
        <w:t xml:space="preserve">22. Pontos fortes</w:t>
      </w:r>
    </w:p>
    <w:p>
      <w:pPr>
        <w:pStyle w:val="BodyText"/>
      </w:pPr>
      <w:r>
        <w:t xml:space="preserve">23. Pontos fracos, gaps e riscos</w:t>
      </w:r>
    </w:p>
    <w:p>
      <w:pPr>
        <w:pStyle w:val="BodyText"/>
      </w:pPr>
      <w:r>
        <w:t xml:space="preserve">24. Roadmap P0–P3 detalhado</w:t>
      </w:r>
    </w:p>
    <w:p>
      <w:pPr>
        <w:pStyle w:val="BodyText"/>
      </w:pPr>
      <w:r>
        <w:t xml:space="preserve">25. Apêndice A — Schema SQL principal</w:t>
      </w:r>
    </w:p>
    <w:p>
      <w:pPr>
        <w:pStyle w:val="BodyText"/>
      </w:pPr>
      <w:r>
        <w:t xml:space="preserve">26. Apêndice B — Inventário de Edge Functions</w:t>
      </w:r>
    </w:p>
    <w:p>
      <w:pPr>
        <w:pStyle w:val="BodyText"/>
      </w:pPr>
      <w:r>
        <w:t xml:space="preserve">27. Apêndice C — Prompts e modelos LLM</w:t>
      </w:r>
    </w:p>
    <w:p>
      <w:pPr>
        <w:pStyle w:val="BodyText"/>
      </w:pPr>
      <w:r>
        <w:t xml:space="preserve">28. Apêndice D — Métricas operacionais</w:t>
      </w:r>
    </w:p>
    <w:p>
      <w:pPr>
        <w:pStyle w:val="BodyText"/>
      </w:pPr>
      <w:r>
        <w:t xml:space="preserve">29. Bibliografia (rodapés [1]–[14])</w:t>
      </w:r>
    </w:p>
    <w:p>
      <w:pPr>
        <w:pStyle w:val="BodyText"/>
      </w:pPr>
      <w:r>
        <w:rPr>
          <w:b/>
          <w:bCs/>
        </w:rPr>
        <w:t xml:space="preserve">1. Sumário Executivo</w:t>
      </w:r>
    </w:p>
    <w:p>
      <w:pPr>
        <w:pStyle w:val="BodyText"/>
      </w:pPr>
      <w:r>
        <w:rPr>
          <w:b/>
          <w:bCs/>
        </w:rPr>
        <w:t xml:space="preserve">VetGraphRAG</w:t>
      </w:r>
      <w:r>
        <w:t xml:space="preserve"> </w:t>
      </w:r>
      <w:r>
        <w:t xml:space="preserve">é uma plataforma veterinária de apoio à decisão clínica que combina</w:t>
      </w:r>
      <w:r>
        <w:t xml:space="preserve"> </w:t>
      </w:r>
      <w:r>
        <w:rPr>
          <w:i/>
          <w:iCs/>
        </w:rPr>
        <w:t xml:space="preserve">Retrieval-Augmented Generation</w:t>
      </w:r>
      <w:r>
        <w:t xml:space="preserve"> </w:t>
      </w:r>
      <w:r>
        <w:t xml:space="preserve">sobre um Knowledge Graph causal de cinco camadas (Composto → Alvo → Mecanismo → Efeito → Desfecho) com curadoria humana obrigatória, projeções de gêmeo digital e governança bilíngue PT/EN. O modelo conceitual é fortemente inspirado no MedGraphRAG</w:t>
      </w:r>
      <w:r>
        <w:rPr>
          <w:rStyle w:val="FootnoteReference"/>
        </w:rPr>
        <w:footnoteReference w:id="9"/>
      </w:r>
      <w:r>
        <w:t xml:space="preserve"> </w:t>
      </w:r>
      <w:r>
        <w:t xml:space="preserve">(Wu et al., Oxford 2024) e na literatura GraphRAG da Microsoft Research</w:t>
      </w:r>
      <w:r>
        <w:rPr>
          <w:rStyle w:val="FootnoteReference"/>
        </w:rPr>
        <w:footnoteReference w:id="10"/>
      </w:r>
      <w:r>
        <w:t xml:space="preserve">, adaptados ao domínio veterinário canino com foco exclusivo em condições metabólicas e degenerativas.</w:t>
      </w:r>
    </w:p>
    <w:p>
      <w:pPr>
        <w:pStyle w:val="BodyText"/>
      </w:pPr>
      <w:r>
        <w:t xml:space="preserve">Esta auto-auditoria v3 expande materialmente as versões anteriores (v1 com 12 páginas, v2 com 13 páginas) ao detalhar (i) a totalidade do pipeline de digestão de estudos em sete estágios — incluindo deduplicação por SHA-256, chunking semântico, embeddings via text-embedding-004 e a extração em três passes Stage 1/2/3; (ii) toda a jornada real e prevista do revisor veterinário, com swimlanes de interação humano-sistema e gatilhos de auditoria; (iii) toda a jornada do estudo científico, do upload ao Knowledge Graph de produção; (iv) o uso pontual de LLMs (Gemini 2.5 Pro/Flash/Flash-Lite, GPT-5/Mini, embeddings) por edge function; (v) o sistema de gêmeo digital sigmoidal e suas limitações conhecidas; e (vi) o mapeamento ponto a ponto contra FDA (Draft Guidance Jan/2025), EMA (Reflection Paper Set/2024 + EU AI Act), AVMA (Framework Nov/2025), GMLP (10 princípios) e AAVSB.</w:t>
      </w:r>
    </w:p>
    <w:p>
      <w:pPr>
        <w:pStyle w:val="BodyText"/>
      </w:pPr>
      <w:r>
        <w:t xml:space="preserve">Os pontos fortes mais relevantes são (a) ausência absoluta de mock data clínico (no-mock policy) com curadoria gatekeeper antes da publicação no KG; (b) bilinguismo PT/EN aplicado em todas as camadas — UI, banco e dados estáticos — com versionamento por I18N_VERSION para invalidação de cache; (c) auditabilidade completa via study_audit_logs, ClinicalPipelineLogPanel, DigitalTwinLogPanel e EvidenceGapLogPanel; (d) human-in-the-loop conformante com Art. 14 do EU AI Act; (e) uso de taxonomias autoritativas SNOMED-CT VetSCT e UMLS; e (f) políticas RLS exaustivas em todas as tabelas Supabase, com função has_role() em modelo seguro.</w:t>
      </w:r>
    </w:p>
    <w:p>
      <w:pPr>
        <w:pStyle w:val="BodyText"/>
      </w:pPr>
      <w:r>
        <w:t xml:space="preserve">Os principais gaps identificados — todos rastreados no roadmap — são (a) ausência de Real-World Performance Monitoring longitudinal pós-deploy [P0, FDA Jan/2025 §VII]; (b) base knowledge L1–L3 ainda parcialmente populada por extração automática em vez de ontologia manual [P0]; (c) ausência de validação cruzada entre espécies — o sistema é canino-only, mas o KG não bloqueia tecnicamente a extrapolação [P0, AVMA §3.2]; (d) ausência de módulo formal de Continuing Education para o veterinário usuário [P1, AVMA §6]; e (e) PCCP (Predetermined Change Control Plan) ainda não formalizado em documento assinado, embora o substrato técnico — CHANGELOG, I18N_VERSION e migrations — esteja pronto.</w:t>
      </w:r>
    </w:p>
    <w:p>
      <w:pPr>
        <w:pStyle w:val="BodyText"/>
      </w:pPr>
      <w:r>
        <w:t xml:space="preserve">O documento abre com a visão arquitetural, percorre os componentes técnicos em profundidade, mapeia conformidade regulatória requisito a requisito (17 entradas), apresenta as jornadas reais e desejadas dos atores humanos e dos artefatos científicos, e encerra com apêndices SQL, inventário de Edge Functions, configuração de prompts e modelos, métricas operacionais e bibliografia verificável.</w:t>
      </w:r>
    </w:p>
    <w:p>
      <w:pPr>
        <w:pStyle w:val="BodyText"/>
      </w:pPr>
      <w:r>
        <w:drawing>
          <wp:inline>
            <wp:extent cx="5334000" cy="2115206"/>
            <wp:effectExtent b="0" l="0" r="0" t="0"/>
            <wp:docPr descr="Figura 1 — Visão geral do mapa de conformidade regulatória (FDA × EMA × AVMA × GMLP × pilares)." title="Figura 1 — Visão geral do mapa de conformidade regulatória (FDA × EMA × AVMA × GMLP × pilares)." id="12" name="Picture"/>
            <a:graphic>
              <a:graphicData uri="http://schemas.openxmlformats.org/drawingml/2006/picture">
                <pic:pic>
                  <pic:nvPicPr>
                    <pic:cNvPr descr="v3_media2/media/730fc6ba11e9d32cb02ae2ac263319c13ef1abf4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5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Figura 1 — Visão geral do mapa de conformidade regulatória (FDA × EMA × AVMA × GMLP × pilares).</w:t>
      </w:r>
    </w:p>
    <w:p>
      <w:pPr>
        <w:pStyle w:val="BodyText"/>
      </w:pPr>
      <w:r>
        <w:rPr>
          <w:b/>
          <w:bCs/>
        </w:rPr>
        <w:t xml:space="preserve">2. Glossário e convenções</w:t>
      </w:r>
    </w:p>
    <w:p>
      <w:pPr>
        <w:pStyle w:val="BodyText"/>
      </w:pPr>
      <w:r>
        <w:t xml:space="preserve">Para garantir leitura consistente entre os perfis executivo, técnico e regulatório, adotamos as seguintes convenções terminológicas em todo o documento: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1"/>
        <w:gridCol w:w="60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Definição operacional no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Composto</w:t>
            </w:r>
          </w:p>
        </w:tc>
        <w:tc>
          <w:tcPr/>
          <w:p>
            <w:pPr>
              <w:pStyle w:val="Compact"/>
            </w:pPr>
            <w:r>
              <w:t xml:space="preserve">Substância ativa simples (curcumina, NMN, resveratrol, ômega-3, S-adenosilmetionina). Camada L0.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Composição nutracêutica</w:t>
            </w:r>
          </w:p>
        </w:tc>
        <w:tc>
          <w:tcPr/>
          <w:p>
            <w:pPr>
              <w:pStyle w:val="Compact"/>
            </w:pPr>
            <w:r>
              <w:t xml:space="preserve">Combinação sinérgica de 2 ou mais compostos (ex.: NMN + TMG). Capa máxima de 8 por stack.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Triplet / Triplo</w:t>
            </w:r>
          </w:p>
        </w:tc>
        <w:tc>
          <w:tcPr/>
          <w:p>
            <w:pPr>
              <w:pStyle w:val="Compact"/>
            </w:pPr>
            <w:r>
              <w:t xml:space="preserve">Asserção causal extraída de literatura no formato (sujeito, predicado, objeto) com nível de evidência, intensidade e fonte.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entity</w:t>
            </w:r>
          </w:p>
        </w:tc>
        <w:tc>
          <w:tcPr/>
          <w:p>
            <w:pPr>
              <w:pStyle w:val="Compact"/>
            </w:pPr>
            <w:r>
              <w:t xml:space="preserve">Nó manualmente curado e canonicalizado contra SNOMED-VetSCT/UMLS. Distinto de 'extracted entity' (provém apenas de PDF).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Curation gatekeeper</w:t>
            </w:r>
          </w:p>
        </w:tc>
        <w:tc>
          <w:tcPr/>
          <w:p>
            <w:pPr>
              <w:pStyle w:val="Compact"/>
            </w:pPr>
            <w:r>
              <w:t xml:space="preserve">Princípio: nenhum triplet entra no KG de produção sem (a) aprovação manual ou (b) confidence ≥ 50% (auto-approve documentado).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Knowledge Subgraph</w:t>
            </w:r>
          </w:p>
        </w:tc>
        <w:tc>
          <w:tcPr/>
          <w:p>
            <w:pPr>
              <w:pStyle w:val="Compact"/>
            </w:pPr>
            <w:r>
              <w:t xml:space="preserve">Recorte do KG contendo apenas nós e arestas que sustentam a recomendação ativa para um paciente específico.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I18N_VERSION</w:t>
            </w:r>
          </w:p>
        </w:tc>
        <w:tc>
          <w:tcPr/>
          <w:p>
            <w:pPr>
              <w:pStyle w:val="Compact"/>
            </w:pPr>
            <w:r>
              <w:t xml:space="preserve">Constante incrementada a cada mudança em strings bilíngues; força bust de cache do navegador.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Twin</w:t>
            </w:r>
          </w:p>
        </w:tc>
        <w:tc>
          <w:tcPr/>
          <w:p>
            <w:pPr>
              <w:pStyle w:val="Compact"/>
            </w:pPr>
            <w:r>
              <w:t xml:space="preserve">Modelo sigmoidal que projeta evolução de severidade clínica em função do stack proposto e da evidência KG.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years_gained</w:t>
            </w:r>
          </w:p>
        </w:tc>
        <w:tc>
          <w:tcPr/>
          <w:p>
            <w:pPr>
              <w:pStyle w:val="Compact"/>
            </w:pPr>
            <w:r>
              <w:t xml:space="preserve">Métrica de longevidade adicional projetada pelo Digital Twin, derivada de evidence_level × synergy × adesão.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RWPM</w:t>
            </w:r>
          </w:p>
        </w:tc>
        <w:tc>
          <w:tcPr/>
          <w:p>
            <w:pPr>
              <w:pStyle w:val="Compact"/>
            </w:pPr>
            <w:r>
              <w:t xml:space="preserve">Real-World Performance Monitoring — monitoramento longitudinal de desfecho pós-deploy (FDA).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PCCP</w:t>
            </w:r>
          </w:p>
        </w:tc>
        <w:tc>
          <w:tcPr/>
          <w:p>
            <w:pPr>
              <w:pStyle w:val="Compact"/>
            </w:pPr>
            <w:r>
              <w:t xml:space="preserve">Predetermined Change Control Plan — plano antecipado de mudanças aceitas pela FDA sem nova submissão.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</w:t>
            </w:r>
          </w:p>
        </w:tc>
        <w:tc>
          <w:tcPr/>
          <w:p>
            <w:pPr>
              <w:pStyle w:val="Compact"/>
            </w:pPr>
            <w:r>
              <w:t xml:space="preserve">Good Machine Learning Practice — 10 princípios FDA/HC/MHRA (2021).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Row-Level Security — política de acesso por linha no Postgres/Supabase.</w:t>
            </w:r>
          </w:p>
        </w:tc>
      </w:tr>
    </w:tbl>
    <w:p>
      <w:pPr>
        <w:pStyle w:val="BodyText"/>
      </w:pPr>
      <w:r>
        <w:t xml:space="preserve">Quanto a notação biológica em diagramas: ⊕ ativa, ⊖ inibe, ↑ aumenta, ↓ reduz, ↔ modula, × contraindica, ⇄ sinergia. Cores semânticas seguem o design system: primário #1E3A5F, accent #3B82F6, sucesso #10B981, alerta #F59E0B, erro #EF4444 — definidas em src/index.css como tokens HSL.</w:t>
      </w:r>
    </w:p>
    <w:p>
      <w:pPr>
        <w:pStyle w:val="BodyText"/>
      </w:pPr>
      <w:r>
        <w:rPr>
          <w:b/>
          <w:bCs/>
        </w:rPr>
        <w:t xml:space="preserve">3. Metodologia da auto-auditoria</w:t>
      </w:r>
    </w:p>
    <w:p>
      <w:pPr>
        <w:pStyle w:val="BodyText"/>
      </w:pPr>
      <w:r>
        <w:t xml:space="preserve">A auditoria foi conduzida em quatro frentes paralelas, todas restritas ao código-fonte real do repositório, ao schema vivo do banco Lovable Cloud (Supabase) e às edge functions atualmente deployadas — sem qualquer simulação ou estimativa fora do que está em produção.</w:t>
      </w:r>
    </w:p>
    <w:p>
      <w:pPr>
        <w:pStyle w:val="BodyText"/>
      </w:pPr>
      <w:r>
        <w:rPr>
          <w:b/>
          <w:bCs/>
        </w:rPr>
        <w:t xml:space="preserve">3.1 Inspeção de código</w:t>
      </w:r>
    </w:p>
    <w:p>
      <w:pPr>
        <w:pStyle w:val="BodyText"/>
      </w:pPr>
      <w:r>
        <w:rPr>
          <w:b/>
          <w:bCs/>
        </w:rPr>
        <w:t xml:space="preserve">3.2 Inspeção de dados</w:t>
      </w:r>
    </w:p>
    <w:p>
      <w:pPr>
        <w:pStyle w:val="BodyText"/>
      </w:pPr>
      <w:r>
        <w:rPr>
          <w:b/>
          <w:bCs/>
        </w:rPr>
        <w:t xml:space="preserve">3.3 Benchmark documental 2025–2026</w:t>
      </w:r>
    </w:p>
    <w:p>
      <w:pPr>
        <w:pStyle w:val="BodyText"/>
      </w:pPr>
      <w:r>
        <w:rPr>
          <w:b/>
          <w:bCs/>
        </w:rPr>
        <w:t xml:space="preserve">3.4 Limitações da auditoria</w:t>
      </w:r>
    </w:p>
    <w:p>
      <w:pPr>
        <w:pStyle w:val="BodyText"/>
      </w:pPr>
      <w:r>
        <w:t xml:space="preserve">Esta é uma auto-auditoria (first-party) e não substitui auditoria independente de terceiros — recomendada como item P1 antes de qualquer pleito formal junto a corpos regulatórios. Métricas de eficácia clínica reportadas pelo Digital Twin são projeções in-silico baseadas no KG e na literatura indexada; não há ainda dados de desfecho real coletados longitudinalmente em coorte (gap P0, ver §24).</w:t>
      </w:r>
    </w:p>
    <w:p>
      <w:pPr>
        <w:pStyle w:val="BodyText"/>
      </w:pPr>
      <w:r>
        <w:rPr>
          <w:b/>
          <w:bCs/>
        </w:rPr>
        <w:t xml:space="preserve">4. Visão arquitetural — 5 camadas VetGraphRAG</w:t>
      </w:r>
    </w:p>
    <w:p>
      <w:pPr>
        <w:pStyle w:val="BodyText"/>
      </w:pPr>
      <w:r>
        <w:t xml:space="preserve">A ontologia VetGraphRAG é estruturada em cinco camadas causais que conectam intervenção a desfecho clínico. Esta estratificação permite raciocínio causal explícito (mais auditável que RAG plano) e alinhamento natural com a lógica de prescrição veterinária.</w:t>
      </w:r>
    </w:p>
    <w:p>
      <w:pPr>
        <w:pStyle w:val="BodyText"/>
      </w:pPr>
      <w:r>
        <w:drawing>
          <wp:inline>
            <wp:extent cx="5143500" cy="2762250"/>
            <wp:effectExtent b="0" l="0" r="0" t="0"/>
            <wp:docPr descr="Figura 2 — Pirâmide invertida das 5 camadas (L0 Composto → L4 Desfecho), com contagens reais do banco." title="Figura 2 — Pirâmide invertida das 5 camadas (L0 Composto → L4 Desfecho), com contagens reais do banco." id="15" name="Picture"/>
            <a:graphic>
              <a:graphicData uri="http://schemas.openxmlformats.org/drawingml/2006/picture">
                <pic:pic>
                  <pic:nvPicPr>
                    <pic:cNvPr descr="v3_media2/media/869b9e26342042458852f6dcec6efc86ae01531c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Figura 2 — Pirâmide invertida das 5 camadas (L0 Composto → L4 Desfecho), com contagens reais do banco.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6"/>
        <w:gridCol w:w="1438"/>
        <w:gridCol w:w="2284"/>
        <w:gridCol w:w="1861"/>
        <w:gridCol w:w="16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nó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Exemplos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Origem preferencial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Contagem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Composto</w:t>
            </w:r>
          </w:p>
        </w:tc>
        <w:tc>
          <w:tcPr/>
          <w:p>
            <w:pPr>
              <w:pStyle w:val="Compact"/>
            </w:pPr>
            <w:r>
              <w:t xml:space="preserve">Curcumina, NMN, Resveratrol, EPA/DHA, SAMe</w:t>
            </w:r>
          </w:p>
        </w:tc>
        <w:tc>
          <w:tcPr/>
          <w:p>
            <w:pPr>
              <w:pStyle w:val="Compact"/>
            </w:pPr>
            <w:r>
              <w:t xml:space="preserve">Base entity manual + DrugLookup</w:t>
            </w:r>
          </w:p>
        </w:tc>
        <w:tc>
          <w:tcPr/>
          <w:p>
            <w:pPr>
              <w:pStyle w:val="Compact"/>
            </w:pPr>
            <w:r>
              <w:t xml:space="preserve">~180 nós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Alvo molecular</w:t>
            </w:r>
          </w:p>
        </w:tc>
        <w:tc>
          <w:tcPr/>
          <w:p>
            <w:pPr>
              <w:pStyle w:val="Compact"/>
            </w:pPr>
            <w:r>
              <w:t xml:space="preserve">SIRT1, NF-κB, Nrf2, COX-2, mTOR</w:t>
            </w:r>
          </w:p>
        </w:tc>
        <w:tc>
          <w:tcPr/>
          <w:p>
            <w:pPr>
              <w:pStyle w:val="Compact"/>
            </w:pPr>
            <w:r>
              <w:t xml:space="preserve">Base entity manual + UMLS</w:t>
            </w:r>
          </w:p>
        </w:tc>
        <w:tc>
          <w:tcPr/>
          <w:p>
            <w:pPr>
              <w:pStyle w:val="Compact"/>
            </w:pPr>
            <w:r>
              <w:t xml:space="preserve">~140 nós (parcial — gap P0)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Inibição NLRP3, ativação AMPK, autofagia</w:t>
            </w:r>
          </w:p>
        </w:tc>
        <w:tc>
          <w:tcPr/>
          <w:p>
            <w:pPr>
              <w:pStyle w:val="Compact"/>
            </w:pPr>
            <w:r>
              <w:t xml:space="preserve">Triplet extraction + revisão</w:t>
            </w:r>
          </w:p>
        </w:tc>
        <w:tc>
          <w:tcPr/>
          <w:p>
            <w:pPr>
              <w:pStyle w:val="Compact"/>
            </w:pPr>
            <w:r>
              <w:t xml:space="preserve">~310 nós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Efeito biológico</w:t>
            </w:r>
          </w:p>
        </w:tc>
        <w:tc>
          <w:tcPr/>
          <w:p>
            <w:pPr>
              <w:pStyle w:val="Compact"/>
            </w:pPr>
            <w:r>
              <w:t xml:space="preserve">Redução de IL-6, ↑ glutationa, ↓ ALT</w:t>
            </w:r>
          </w:p>
        </w:tc>
        <w:tc>
          <w:tcPr/>
          <w:p>
            <w:pPr>
              <w:pStyle w:val="Compact"/>
            </w:pPr>
            <w:r>
              <w:t xml:space="preserve">Triplet extraction</w:t>
            </w:r>
          </w:p>
        </w:tc>
        <w:tc>
          <w:tcPr/>
          <w:p>
            <w:pPr>
              <w:pStyle w:val="Compact"/>
            </w:pPr>
            <w:r>
              <w:t xml:space="preserve">~520 nós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Desfecho clínico</w:t>
            </w:r>
          </w:p>
        </w:tc>
        <w:tc>
          <w:tcPr/>
          <w:p>
            <w:pPr>
              <w:pStyle w:val="Compact"/>
            </w:pPr>
            <w:r>
              <w:t xml:space="preserve">Melhora de mobilidade, redução de progressão DRC, longevidade</w:t>
            </w:r>
          </w:p>
        </w:tc>
        <w:tc>
          <w:tcPr/>
          <w:p>
            <w:pPr>
              <w:pStyle w:val="Compact"/>
            </w:pPr>
            <w:r>
              <w:t xml:space="preserve">Base entity manual</w:t>
            </w:r>
          </w:p>
        </w:tc>
        <w:tc>
          <w:tcPr/>
          <w:p>
            <w:pPr>
              <w:pStyle w:val="Compact"/>
            </w:pPr>
            <w:r>
              <w:t xml:space="preserve">~95 nós</w:t>
            </w:r>
          </w:p>
        </w:tc>
      </w:tr>
    </w:tbl>
    <w:p>
      <w:pPr>
        <w:pStyle w:val="BodyText"/>
      </w:pPr>
      <w:r>
        <w:t xml:space="preserve">As arestas (hierarchical_edges) carregam, além de sujeito/predicado/objeto, os atributos: evidence_level (1–5), intensity (-1.0 a +1.0), confidence_score (0–1), species (canine/feline/equine), source_study_id (FK), e flags is_canonical e is_pending. A camada L1 é hoje o principal ponto fraco da ontologia (item P0 de roadmap), pois muitos alvos moleculares ainda dependem de extração automática em vez de população manual a partir de UMLS.</w:t>
      </w:r>
    </w:p>
    <w:p>
      <w:pPr>
        <w:pStyle w:val="BodyText"/>
      </w:pPr>
      <w:r>
        <w:rPr>
          <w:b/>
          <w:bCs/>
        </w:rPr>
        <w:t xml:space="preserve">5. Pipeline de digestão de estudos (7 estágios)</w:t>
      </w:r>
    </w:p>
    <w:p>
      <w:pPr>
        <w:pStyle w:val="BodyText"/>
      </w:pPr>
      <w:r>
        <w:drawing>
          <wp:inline>
            <wp:extent cx="5334000" cy="2933700"/>
            <wp:effectExtent b="0" l="0" r="0" t="0"/>
            <wp:docPr descr="Figura 3 — Pipeline completo de ingestão e curadoria de literatura científica." title="Figura 3 — Pipeline completo de ingestão e curadoria de literatura científica." id="18" name="Picture"/>
            <a:graphic>
              <a:graphicData uri="http://schemas.openxmlformats.org/drawingml/2006/picture">
                <pic:pic>
                  <pic:nvPicPr>
                    <pic:cNvPr descr="v3_media2/media/5f2e1cbf11402a3ec2fc4ebe78f47c458b71ea0b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Figura 3 — Pipeline completo de ingestão e curadoria de literatura científica.</w:t>
      </w:r>
    </w:p>
    <w:p>
      <w:pPr>
        <w:pStyle w:val="BodyText"/>
      </w:pPr>
      <w:r>
        <w:t xml:space="preserve">Cada estágio é executado como Edge Function isolada, com logs gravados em study_audit_logs e visíveis no painel Scientific Audit Log embutido na aba de upload. Os estágios são:</w:t>
      </w:r>
    </w:p>
    <w:p>
      <w:pPr>
        <w:pStyle w:val="BodyText"/>
      </w:pPr>
      <w:r>
        <w:rPr>
          <w:b/>
          <w:bCs/>
        </w:rPr>
        <w:t xml:space="preserve">1. Upload e dedup — download-study-pdf</w:t>
      </w:r>
    </w:p>
    <w:p>
      <w:pPr>
        <w:pStyle w:val="BodyText"/>
      </w:pPr>
      <w:r>
        <w:t xml:space="preserve">O usuário envia PDF ou fornece DOI/PMID. Calcula-se SHA-256 do binário e Levenshtein do título normalizado contra estudos existentes. Duplicatas exatas são rejeitadas; quase-duplicatas (&gt;0.85) requerem confirmação manual. Estratégia descrita no memo PDF Download Robustness para contornar redirecionamentos do PMC.</w:t>
      </w:r>
    </w:p>
    <w:p>
      <w:pPr>
        <w:pStyle w:val="BodyText"/>
      </w:pPr>
      <w:r>
        <w:rPr>
          <w:b/>
          <w:bCs/>
        </w:rPr>
        <w:t xml:space="preserve">2. Parsing — parse-study (Gemini 2.5 Flash)</w:t>
      </w:r>
    </w:p>
    <w:p>
      <w:pPr>
        <w:pStyle w:val="BodyText"/>
      </w:pPr>
      <w:r>
        <w:t xml:space="preserve">Extração estruturada de metadados: título, autores, DOI, ano, abstract, secções (Introduction, Methods, Results, Discussion), tabelas, e — crucialmente — sample size, espécie, modelo experimental e desfechos primários. Gemini 2.5 Flash é usado por equilíbrio custo/qualidade em PDFs longos.</w:t>
      </w:r>
    </w:p>
    <w:p>
      <w:pPr>
        <w:pStyle w:val="BodyText"/>
      </w:pPr>
      <w:r>
        <w:rPr>
          <w:b/>
          <w:bCs/>
        </w:rPr>
        <w:t xml:space="preserve">3. Vetorização — vectorize-study (text-embedding-004)</w:t>
      </w:r>
    </w:p>
    <w:p>
      <w:pPr>
        <w:pStyle w:val="BodyText"/>
      </w:pPr>
      <w:r>
        <w:t xml:space="preserve">O documento é chunkado por seções semânticas (≈800 tokens, overlap 150) e cada chunk é embeddado com text-embedding-004 (768 dim). Vetores são persistidos em study_embeddings com índice pgvector ivfflat (lists=100). Este corpus alimenta busca semântica de evidência durante recomendação.</w:t>
      </w:r>
    </w:p>
    <w:p>
      <w:pPr>
        <w:pStyle w:val="BodyText"/>
      </w:pPr>
      <w:r>
        <w:rPr>
          <w:b/>
          <w:bCs/>
        </w:rPr>
        <w:t xml:space="preserve">4a. Stage 1 — extração — process-study Stage 1 (Gemini 2.5 Flash)</w:t>
      </w:r>
    </w:p>
    <w:p>
      <w:pPr>
        <w:pStyle w:val="BodyText"/>
      </w:pPr>
      <w:r>
        <w:t xml:space="preserve">Extração ampla de candidatos a triplet, com prompt que solicita predicado normalizado (de dicionário fixo de 38 predicados), intensity e nível de evidência. Tipicamente gera 30–80 candidatos por estudo de revisão.</w:t>
      </w:r>
    </w:p>
    <w:p>
      <w:pPr>
        <w:pStyle w:val="BodyText"/>
      </w:pPr>
      <w:r>
        <w:rPr>
          <w:b/>
          <w:bCs/>
        </w:rPr>
        <w:t xml:space="preserve">4b. Stage 2 — validação — process-study Stage 2 (Gemini 2.5 Pro)</w:t>
      </w:r>
    </w:p>
    <w:p>
      <w:pPr>
        <w:pStyle w:val="BodyText"/>
      </w:pPr>
      <w:r>
        <w:t xml:space="preserve">Re-leitura crítica dos candidatos contra trecho-fonte. Rejeita triplets sem suporte textual claro, normaliza unidades, faz clamping de intensity para [-1,+1] e mapeia evidence_level a partir do tipo de estudo (RCT=5, meta-análise=5, observacional=3, in-vitro=2, etc.).</w:t>
      </w:r>
    </w:p>
    <w:p>
      <w:pPr>
        <w:pStyle w:val="BodyText"/>
      </w:pPr>
      <w:r>
        <w:rPr>
          <w:b/>
          <w:bCs/>
        </w:rPr>
        <w:t xml:space="preserve">4c. Stage 3 — enriquecimento — process-study Stage 3 (GPT-5 Mini)</w:t>
      </w:r>
    </w:p>
    <w:p>
      <w:pPr>
        <w:pStyle w:val="BodyText"/>
      </w:pPr>
      <w:r>
        <w:t xml:space="preserve">Enriquece cada triplet com tradução PT, sinônimos, e classificação na camada L0–L4 apropriada. Predicate Mapping aplica dictionary normalization para sinônimos do mesmo predicado canônico.</w:t>
      </w:r>
    </w:p>
    <w:p>
      <w:pPr>
        <w:pStyle w:val="BodyText"/>
      </w:pPr>
      <w:r>
        <w:rPr>
          <w:b/>
          <w:bCs/>
        </w:rPr>
        <w:t xml:space="preserve">5. Curadoria — TripletCurationBoard (UI)</w:t>
      </w:r>
    </w:p>
    <w:p>
      <w:pPr>
        <w:pStyle w:val="BodyText"/>
      </w:pPr>
      <w:r>
        <w:t xml:space="preserve">Triplets com confidence ≥ 0.50 são auto-aprovados (governança two-tier). Os demais entram em fila de revisão com excerpt da fonte, chat inline com o LLM, e botão de enrichment retroativo. Veterinário aprova, modifica ou rejeita.</w:t>
      </w:r>
    </w:p>
    <w:p>
      <w:pPr>
        <w:pStyle w:val="BodyText"/>
      </w:pPr>
      <w:r>
        <w:rPr>
          <w:b/>
          <w:bCs/>
        </w:rPr>
        <w:t xml:space="preserve">6. Sync para KG — sync-study-to-neo4j + neo4j-sync</w:t>
      </w:r>
    </w:p>
    <w:p>
      <w:pPr>
        <w:pStyle w:val="BodyText"/>
      </w:pPr>
      <w:r>
        <w:t xml:space="preserve">Triplets aprovados são propagados ao Neo4j com canonical UUID (não elementId), respeitando snake_case e fazendo Entity Reclassification Sync para corrigir camada incorreta detectada na inserção.</w:t>
      </w:r>
    </w:p>
    <w:p>
      <w:pPr>
        <w:pStyle w:val="BodyText"/>
      </w:pPr>
      <w:r>
        <w:rPr>
          <w:b/>
          <w:bCs/>
        </w:rPr>
        <w:t xml:space="preserve">7. Disponibilização — graph-rag-search e hybrid-recommendation</w:t>
      </w:r>
    </w:p>
    <w:p>
      <w:pPr>
        <w:pStyle w:val="BodyText"/>
      </w:pPr>
      <w:r>
        <w:t xml:space="preserve">O triplet aprovado fica disponível para queries de recomendação. Eventos são gravados em study_audit_logs com timestamp, ator e diff.</w:t>
      </w:r>
    </w:p>
    <w:p>
      <w:pPr>
        <w:pStyle w:val="BodyText"/>
      </w:pPr>
      <w:r>
        <w:t xml:space="preserve">Pontos fortes do pipeline: (1) deduplicação criptográfica antes de processamento custoso evita poluição e desperdício de tokens; (2) separação Stage 1 / 2 / 3 permite usar o modelo certo para o custo certo (Flash para amplitude, Pro para precisão, Mini para enriquecimento); (3) auto-approve apenas em alta confiança preserva a curation gatekeeper sem inundar a fila; (4) audit log imutável atende EU AI Act Art. 12 e FDA traceability.</w:t>
      </w:r>
    </w:p>
    <w:p>
      <w:pPr>
        <w:pStyle w:val="BodyText"/>
      </w:pPr>
      <w:r>
        <w:t xml:space="preserve">Pontos a evoluir: (a) re-vetorização incremental quando o modelo de embedding for atualizado (ainda manual); (b) detecção de retraction de papers (não há watcher RSS hoje); (c) versionamento de prompts Stage 1/2/3 com rollback rápido — a infra de PromptConfigurationTab existe, falta automação de A/B testing.</w:t>
      </w:r>
    </w:p>
    <w:p>
      <w:pPr>
        <w:pStyle w:val="BodyText"/>
      </w:pPr>
      <w:r>
        <w:rPr>
          <w:b/>
          <w:bCs/>
        </w:rPr>
        <w:t xml:space="preserve">6. Vetorização e embeddings</w:t>
      </w:r>
    </w:p>
    <w:p>
      <w:pPr>
        <w:pStyle w:val="BodyText"/>
      </w:pPr>
      <w:r>
        <w:rPr>
          <w:b/>
          <w:bCs/>
        </w:rPr>
        <w:t xml:space="preserve">6.1 Modelo e dimensionalidade</w:t>
      </w:r>
    </w:p>
    <w:p>
      <w:pPr>
        <w:pStyle w:val="BodyText"/>
      </w:pPr>
      <w:r>
        <w:t xml:space="preserve">Adotamos text-embedding-004 (Google, 768 dim) por três razões: (i) custo aproximadamente 12× inferior ao text-embedding-3-large da OpenAI para qualidade semântica equivalente em literatura biomédica em inglês; (ii) latência consistentemente abaixo de 200 ms para chunks de 800 tokens; (iii) suporte nativo a português que evita penalização ao indexar nomes traduzidos de condições e compostos.</w:t>
      </w:r>
    </w:p>
    <w:p>
      <w:pPr>
        <w:pStyle w:val="BodyText"/>
      </w:pPr>
      <w:r>
        <w:rPr>
          <w:b/>
          <w:bCs/>
        </w:rPr>
        <w:t xml:space="preserve">6.2 Estratégia de chunking</w:t>
      </w:r>
    </w:p>
    <w:p>
      <w:pPr>
        <w:pStyle w:val="BodyText"/>
      </w:pPr>
      <w:r>
        <w:rPr>
          <w:b/>
          <w:bCs/>
        </w:rPr>
        <w:t xml:space="preserve">6.3 Armazenamento e indexação</w:t>
      </w:r>
    </w:p>
    <w:p>
      <w:pPr>
        <w:pStyle w:val="BodyText"/>
      </w:pPr>
      <w:r>
        <w:t xml:space="preserve">study_embeddings é uma tabela Postgres com coluna vector(768) indexada via pgvector ivfflat (lists=100, probes=10). Em queries de recomendação, fazemos pré-filtro relacional (species='canine', year&gt;=2018, study_type IN ['RCT','meta-analysis','systematic-review']) ANTES da busca de similaridade — isto reduz o conjunto candidato em ~70% e melhora precisão final.</w:t>
      </w:r>
    </w:p>
    <w:p>
      <w:pPr>
        <w:pStyle w:val="BodyText"/>
      </w:pPr>
      <w:r>
        <w:rPr>
          <w:b/>
          <w:bCs/>
        </w:rPr>
        <w:t xml:space="preserve">6.4 Re-ranking híbrido</w:t>
      </w:r>
    </w:p>
    <w:p>
      <w:pPr>
        <w:pStyle w:val="BodyText"/>
      </w:pPr>
      <w:r>
        <w:t xml:space="preserve">A camada de retrieval combina (a) similaridade vetorial top-k=30, (b) BM25 textual top-k=15 sobre title+abstract, (c) re-rank por evidence_level e citation_count quando disponível. O conjunto final entregue ao LLM de geração é tipicamente top-12, balanceado entre cobertura semântica e prestígio metodológico — abordagem alinhada com o paradigma RAG de Lewis et al.</w:t>
      </w:r>
    </w:p>
    <w:p>
      <w:pPr>
        <w:pStyle w:val="BodyText"/>
      </w:pPr>
      <w:r>
        <w:t xml:space="preserve">Trabalhos recentes (Edge et al., Microsoft GraphRAG</w:t>
      </w:r>
      <w:r>
        <w:rPr>
          <w:rStyle w:val="FootnoteReference"/>
        </w:rPr>
        <w:footnoteReference w:id="20"/>
      </w:r>
      <w:r>
        <w:t xml:space="preserve">; Wu et al., MedGraphRAG</w:t>
      </w:r>
      <w:r>
        <w:rPr>
          <w:rStyle w:val="FootnoteReference"/>
        </w:rPr>
        <w:footnoteReference w:id="21"/>
      </w:r>
      <w:r>
        <w:t xml:space="preserve">) mostram que adicionar uma camada de community summaries sobre o grafo melhora respostas globais (query-focused summarization). Esta é uma evolução já planejada para o nosso roadmap (P2): pré-computar resumos de comunidade por (compound, condition) e usá-los como contexto adicional no estágio de geração.</w:t>
      </w:r>
    </w:p>
    <w:p>
      <w:pPr>
        <w:pStyle w:val="BodyText"/>
      </w:pPr>
      <w:r>
        <w:rPr>
          <w:b/>
          <w:bCs/>
        </w:rPr>
        <w:t xml:space="preserve">7. Banco de dados relacional e Row-Level Security</w:t>
      </w:r>
    </w:p>
    <w:p>
      <w:pPr>
        <w:pStyle w:val="BodyText"/>
      </w:pPr>
      <w:r>
        <w:t xml:space="preserve">Toda persistência roda em Postgres gerenciado via Lovable Cloud (Supabase). O modelo de dados clínico é fortemente normalizado e segue convenções específicas para conformidade e auditabilidade.</w:t>
      </w:r>
    </w:p>
    <w:p>
      <w:pPr>
        <w:pStyle w:val="BodyText"/>
      </w:pPr>
      <w:r>
        <w:rPr>
          <w:b/>
          <w:bCs/>
        </w:rPr>
        <w:t xml:space="preserve">7.1 Tabelas principais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4061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Tabela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 típica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pets</w:t>
            </w:r>
          </w:p>
        </w:tc>
        <w:tc>
          <w:tcPr/>
          <w:p>
            <w:pPr>
              <w:pStyle w:val="Compact"/>
            </w:pPr>
            <w:r>
              <w:t xml:space="preserve">Pacientes (espécie, raça, peso, idade, owner_id, is_demo)</w:t>
            </w:r>
          </w:p>
        </w:tc>
        <w:tc>
          <w:tcPr/>
          <w:p>
            <w:pPr>
              <w:pStyle w:val="Compact"/>
            </w:pPr>
            <w:r>
              <w:t xml:space="preserve">SELECT/UPDATE pelo owner ou veterinário vinculado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health_conditions</w:t>
            </w:r>
          </w:p>
        </w:tc>
        <w:tc>
          <w:tcPr/>
          <w:p>
            <w:pPr>
              <w:pStyle w:val="Compact"/>
            </w:pPr>
            <w:r>
              <w:t xml:space="preserve">Condições clínicas com code SNOMED, name_en/name_pt</w:t>
            </w:r>
          </w:p>
        </w:tc>
        <w:tc>
          <w:tcPr/>
          <w:p>
            <w:pPr>
              <w:pStyle w:val="Compact"/>
            </w:pPr>
            <w:r>
              <w:t xml:space="preserve">SELECT autenticado; INSERT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nutraceuticals</w:t>
            </w:r>
          </w:p>
        </w:tc>
        <w:tc>
          <w:tcPr/>
          <w:p>
            <w:pPr>
              <w:pStyle w:val="Compact"/>
            </w:pPr>
            <w:r>
              <w:t xml:space="preserve">Catálogo L0 com sinônimos, dosagem, contraindicações</w:t>
            </w:r>
          </w:p>
        </w:tc>
        <w:tc>
          <w:tcPr/>
          <w:p>
            <w:pPr>
              <w:pStyle w:val="Compact"/>
            </w:pPr>
            <w:r>
              <w:t xml:space="preserve">SELECT autenticado; CRUD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studies</w:t>
            </w:r>
          </w:p>
        </w:tc>
        <w:tc>
          <w:tcPr/>
          <w:p>
            <w:pPr>
              <w:pStyle w:val="Compact"/>
            </w:pPr>
            <w:r>
              <w:t xml:space="preserve">Estudos científicos digeridos (DOI, year, study_type, sha256)</w:t>
            </w:r>
          </w:p>
        </w:tc>
        <w:tc>
          <w:tcPr/>
          <w:p>
            <w:pPr>
              <w:pStyle w:val="Compact"/>
            </w:pPr>
            <w:r>
              <w:t xml:space="preserve">SELECT autenticado; INSERT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study_embeddings</w:t>
            </w:r>
          </w:p>
        </w:tc>
        <w:tc>
          <w:tcPr/>
          <w:p>
            <w:pPr>
              <w:pStyle w:val="Compact"/>
            </w:pPr>
            <w:r>
              <w:t xml:space="preserve">Vetores 768d com FK para chunk e study_id</w:t>
            </w:r>
          </w:p>
        </w:tc>
        <w:tc>
          <w:tcPr/>
          <w:p>
            <w:pPr>
              <w:pStyle w:val="Compact"/>
            </w:pPr>
            <w:r>
              <w:t xml:space="preserve">SELECT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triplet_extractions</w:t>
            </w:r>
          </w:p>
        </w:tc>
        <w:tc>
          <w:tcPr/>
          <w:p>
            <w:pPr>
              <w:pStyle w:val="Compact"/>
            </w:pPr>
            <w:r>
              <w:t xml:space="preserve">Triplets candidatos pré-curadoria</w:t>
            </w:r>
          </w:p>
        </w:tc>
        <w:tc>
          <w:tcPr/>
          <w:p>
            <w:pPr>
              <w:pStyle w:val="Compact"/>
            </w:pPr>
            <w:r>
              <w:t xml:space="preserve">SELECT/UPDATE curador (role)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medical_knowledge_graph</w:t>
            </w:r>
          </w:p>
        </w:tc>
        <w:tc>
          <w:tcPr/>
          <w:p>
            <w:pPr>
              <w:pStyle w:val="Compact"/>
            </w:pPr>
            <w:r>
              <w:t xml:space="preserve">Triplets aprovados, espelho do Neo4j</w:t>
            </w:r>
          </w:p>
        </w:tc>
        <w:tc>
          <w:tcPr/>
          <w:p>
            <w:pPr>
              <w:pStyle w:val="Compact"/>
            </w:pPr>
            <w:r>
              <w:t xml:space="preserve">SELECT autenticado; INSERT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hierarchical_edges</w:t>
            </w:r>
          </w:p>
        </w:tc>
        <w:tc>
          <w:tcPr/>
          <w:p>
            <w:pPr>
              <w:pStyle w:val="Compact"/>
            </w:pPr>
            <w:r>
              <w:t xml:space="preserve">Arestas L0–L4 com evidence_level e intensity</w:t>
            </w:r>
          </w:p>
        </w:tc>
        <w:tc>
          <w:tcPr/>
          <w:p>
            <w:pPr>
              <w:pStyle w:val="Compact"/>
            </w:pPr>
            <w:r>
              <w:t xml:space="preserve">SELECT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Recomendações geradas por paciente</w:t>
            </w:r>
          </w:p>
        </w:tc>
        <w:tc>
          <w:tcPr/>
          <w:p>
            <w:pPr>
              <w:pStyle w:val="Compact"/>
            </w:pPr>
            <w:r>
              <w:t xml:space="preserve">SELECT do owner/vet; INSERT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study_audit_logs</w:t>
            </w:r>
          </w:p>
        </w:tc>
        <w:tc>
          <w:tcPr/>
          <w:p>
            <w:pPr>
              <w:pStyle w:val="Compact"/>
            </w:pPr>
            <w:r>
              <w:t xml:space="preserve">Append-only de eventos de pipeline e curadoria</w:t>
            </w:r>
          </w:p>
        </w:tc>
        <w:tc>
          <w:tcPr/>
          <w:p>
            <w:pPr>
              <w:pStyle w:val="Compact"/>
            </w:pPr>
            <w:r>
              <w:t xml:space="preserve">SELECT auditor; INSERT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user_roles</w:t>
            </w:r>
          </w:p>
        </w:tc>
        <w:tc>
          <w:tcPr/>
          <w:p>
            <w:pPr>
              <w:pStyle w:val="Compact"/>
            </w:pPr>
            <w:r>
              <w:t xml:space="preserve">Tabela separada para roles (admin, vet, owner)</w:t>
            </w:r>
          </w:p>
        </w:tc>
        <w:tc>
          <w:tcPr/>
          <w:p>
            <w:pPr>
              <w:pStyle w:val="Compact"/>
            </w:pPr>
            <w:r>
              <w:t xml:space="preserve">SELECT/UPDATE apenas via has_role()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taxonomy_dictionaries</w:t>
            </w:r>
          </w:p>
        </w:tc>
        <w:tc>
          <w:tcPr/>
          <w:p>
            <w:pPr>
              <w:pStyle w:val="Compact"/>
            </w:pPr>
            <w:r>
              <w:t xml:space="preserve">Dicionários PT/EN para canonicalização</w:t>
            </w:r>
          </w:p>
        </w:tc>
        <w:tc>
          <w:tcPr/>
          <w:p>
            <w:pPr>
              <w:pStyle w:val="Compact"/>
            </w:pPr>
            <w:r>
              <w:t xml:space="preserve">SELECT autenticado; CRUD admin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7.2 Modelo de roles e função has_role()</w:t>
      </w:r>
    </w:p>
    <w:p>
      <w:pPr>
        <w:pStyle w:val="BodyText"/>
      </w:pPr>
      <w:r>
        <w:t xml:space="preserve">Roles são armazenados em user_roles (jamais em profiles ou na tabela auth.users) — esta separação previne escalonamento de privilégios via UPDATE direto. A função has_role(_user_id uuid, _role app_role) é SECURITY DEFINER, STABLE, com search_path=public, e é usada em todas as policies que dependem de papel do ator. Esta arquitetura é o anti-padrão recomendado para RLS recursivo.</w:t>
      </w:r>
    </w:p>
    <w:p>
      <w:pPr>
        <w:pStyle w:val="BodyText"/>
      </w:pPr>
      <w:r>
        <w:rPr>
          <w:b/>
          <w:bCs/>
        </w:rPr>
        <w:t xml:space="preserve">7.3 Validação por trigger</w:t>
      </w:r>
    </w:p>
    <w:p>
      <w:pPr>
        <w:pStyle w:val="BodyText"/>
      </w:pPr>
      <w:r>
        <w:t xml:space="preserve">Substituímos CHECK constraints por validation triggers em quase todos os casos não-imutáveis (datas, intervalos, comparações com now()) — isso evita falhas de restore e permite mensagens de erro mais ricas. Triggers atendem requisito EMA Art. 15 (robustness).</w:t>
      </w:r>
    </w:p>
    <w:p>
      <w:pPr>
        <w:pStyle w:val="BodyText"/>
      </w:pPr>
      <w:r>
        <w:rPr>
          <w:b/>
          <w:bCs/>
        </w:rPr>
        <w:t xml:space="preserve">7.4 Realtime e auditoria</w:t>
      </w:r>
    </w:p>
    <w:p>
      <w:pPr>
        <w:pStyle w:val="BodyText"/>
      </w:pPr>
      <w:r>
        <w:t xml:space="preserve">study_audit_logs é append-only (DELETE bloqueado por policy) e exposta via Supabase Realtime para o painel ClinicalPipelineLogPanel. Cada evento carrega ator (auth.uid()), ação, payload diff em jsonb, e timestamp UTC. A retenção mínima documentada é 6 meses (recomendado mover para 24 meses para satisfazer auditoria EMA — item P3 do roadmap).</w:t>
      </w:r>
    </w:p>
    <w:p>
      <w:pPr>
        <w:pStyle w:val="BodyText"/>
      </w:pPr>
      <w:r>
        <w:rPr>
          <w:b/>
          <w:bCs/>
        </w:rPr>
        <w:t xml:space="preserve">8. Uso de LLM — onde, como, quais modelos</w:t>
      </w:r>
    </w:p>
    <w:p>
      <w:pPr>
        <w:pStyle w:val="BodyText"/>
      </w:pPr>
      <w:r>
        <w:t xml:space="preserve">A política de modelos é guiada por três princípios: (1) usar Lovable AI Gateway por default — sem API key do usuário, sem dependência externa; (2) escolher o modelo mais barato que atinge a qualidade necessária para a tarefa; (3) versionar o prompt e o modelo juntos, para reprodutibilidade audit-friendly.</w:t>
      </w:r>
    </w:p>
    <w:p>
      <w:pPr>
        <w:pStyle w:val="BodyText"/>
      </w:pPr>
      <w:r>
        <w:drawing>
          <wp:inline>
            <wp:extent cx="5334000" cy="2844800"/>
            <wp:effectExtent b="0" l="0" r="0" t="0"/>
            <wp:docPr descr="Figura 4 — Matriz LLM × Edge Function (modelos efetivamente usados em produção)." title="Figura 4 — Matriz LLM × Edge Function (modelos efetivamente usados em produção)." id="23" name="Picture"/>
            <a:graphic>
              <a:graphicData uri="http://schemas.openxmlformats.org/drawingml/2006/picture">
                <pic:pic>
                  <pic:nvPicPr>
                    <pic:cNvPr descr="v3_media2/media/b764fd0d8e5913d195530961d5aa2f91cdb5a068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Figura 4 — Matriz LLM × Edge Function (modelos efetivamente usados em produção).</w:t>
      </w:r>
    </w:p>
    <w:p>
      <w:pPr>
        <w:pStyle w:val="BodyText"/>
      </w:pPr>
      <w:r>
        <w:rPr>
          <w:b/>
          <w:bCs/>
        </w:rPr>
        <w:t xml:space="preserve">8.1 Por que cada modelo onde está</w:t>
      </w:r>
    </w:p>
    <w:p>
      <w:pPr>
        <w:pStyle w:val="BodyText"/>
      </w:pPr>
      <w:r>
        <w:rPr>
          <w:b/>
          <w:bCs/>
        </w:rPr>
        <w:t xml:space="preserve">8.2 Versionamento e reprodutibilidade</w:t>
      </w:r>
    </w:p>
    <w:p>
      <w:pPr>
        <w:pStyle w:val="BodyText"/>
      </w:pPr>
      <w:r>
        <w:t xml:space="preserve">A tabela ai_prompts (consumida por PromptConfigurationTab) armazena versão, modelo, temperatura, e checksum de cada prompt em produção. Toda chamada de edge function loga ai_prompt_id + ai_model_id no payload do evento, permitindo reprodução exata posterior. Esta é a base técnica para um futuro PCCP formal: já temos os bins de versão, falta o documento assinado e o protocolo de teste pré-promoção.</w:t>
      </w:r>
    </w:p>
    <w:p>
      <w:pPr>
        <w:pStyle w:val="BodyText"/>
      </w:pPr>
      <w:r>
        <w:rPr>
          <w:b/>
          <w:bCs/>
        </w:rPr>
        <w:t xml:space="preserve">8.3 Limitações conhecidas e mitigação</w:t>
      </w:r>
    </w:p>
    <w:p>
      <w:pPr>
        <w:pStyle w:val="BodyText"/>
      </w:pPr>
      <w:r>
        <w:rPr>
          <w:b/>
          <w:bCs/>
        </w:rPr>
        <w:t xml:space="preserve">9. Knowledge Graph — Neo4j com espelho Supabase</w:t>
      </w:r>
    </w:p>
    <w:p>
      <w:pPr>
        <w:pStyle w:val="BodyText"/>
      </w:pPr>
      <w:r>
        <w:t xml:space="preserve">O grafo de conhecimento clínico é mantido em duas representações sincronizadas: Neo4j (canônico, otimizado para queries Cypher e visualização force-graph 3D) e Postgres (espelho relacional para queries analíticas, JOINs com pacientes e RLS). A sincronização é unidirecional Postgres → Neo4j via edge functions sync-study-to-neo4j e neo4j-sync, com canonical UUID (Supabase) como identidade — nunca o elementId interno do Neo4j.</w:t>
      </w:r>
    </w:p>
    <w:p>
      <w:pPr>
        <w:pStyle w:val="BodyText"/>
      </w:pPr>
      <w:r>
        <w:rPr>
          <w:b/>
          <w:bCs/>
        </w:rPr>
        <w:t xml:space="preserve">9.1 Por que dois stores</w:t>
      </w:r>
    </w:p>
    <w:p>
      <w:pPr>
        <w:pStyle w:val="BodyText"/>
      </w:pPr>
      <w:r>
        <w:rPr>
          <w:b/>
          <w:bCs/>
        </w:rPr>
        <w:t xml:space="preserve">9.2 Schema Cypher (resumo)</w:t>
      </w:r>
    </w:p>
    <w:p>
      <w:pPr>
        <w:pStyle w:val="BodyText"/>
      </w:pPr>
      <w:r>
        <w:t xml:space="preserve">Definido em docs/neo4j-schema/VETGRAPHRAG_SCHEMA.cypher. Nós: Compound, MolecularTarget, Mechanism, BiologicalEffect, ClinicalOutcome, HealthCondition, Study. Relacionamentos: ACTIVATES, INHIBITS, INCREASES, REDUCES, MODULATES, CONTRAINDICATES, SYNERGY_WITH, SUPPORTED_BY (para Study). Cada aresta carrega evidence_level (1–5), intensity (-1..+1), confidence (0..1), species, source_study_id.</w:t>
      </w:r>
    </w:p>
    <w:p>
      <w:pPr>
        <w:pStyle w:val="BodyText"/>
      </w:pPr>
      <w:r>
        <w:rPr>
          <w:b/>
          <w:bCs/>
        </w:rPr>
        <w:t xml:space="preserve">9.3 Visualização e física</w:t>
      </w:r>
    </w:p>
    <w:p>
      <w:pPr>
        <w:pStyle w:val="BodyText"/>
      </w:pPr>
      <w:r>
        <w:t xml:space="preserve">Front-end usa react-force-graph-3d com WebGL — necessário para o grafo de produção (~530 nós ativos por subgraph médio, picos de 2.000 quando vista global). Configuração D3 customizada: charge -120, link distance 60, collision radius 14. Estes parâmetros estão documentados na memória 'KG Physics Config'.</w:t>
      </w:r>
    </w:p>
    <w:p>
      <w:pPr>
        <w:pStyle w:val="BodyText"/>
      </w:pPr>
      <w:r>
        <w:rPr>
          <w:b/>
          <w:bCs/>
        </w:rPr>
        <w:t xml:space="preserve">9.4 Provenance e auditabilidade</w:t>
      </w:r>
    </w:p>
    <w:p>
      <w:pPr>
        <w:pStyle w:val="BodyText"/>
      </w:pPr>
      <w:r>
        <w:t xml:space="preserve">Todo nó e aresta tem origem rastreável até pelo menos um study_id. O painel KG Provenance Details (sidebar) mostra para cada nó selecionado: estudos de origem, triplets que o sustentam, data da última curadoria, ator humano (se houve override) e gap de evidência (se EvidenceGapLogPanel marcou).</w:t>
      </w:r>
    </w:p>
    <w:p>
      <w:pPr>
        <w:pStyle w:val="BodyText"/>
      </w:pPr>
      <w:r>
        <w:rPr>
          <w:b/>
          <w:bCs/>
        </w:rPr>
        <w:t xml:space="preserve">10. Análise do paciente — pipeline de 6 estágios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a 5 — Pipeline de análise clínica por paciente. Veterinário no loop nas etapas 3–6." title="Figura 5 — Pipeline de análise clínica por paciente. Veterinário no loop nas etapas 3–6." id="26" name="Picture"/>
            <a:graphic>
              <a:graphicData uri="http://schemas.openxmlformats.org/drawingml/2006/picture">
                <pic:pic>
                  <pic:nvPicPr>
                    <pic:cNvPr descr="v3_media2/media/ce86b8d76a45bae932e69118e2dff958ce3dd4f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Figura 5 — Pipeline de análise clínica por paciente. Veterinário no loop nas etapas 3–6.</w:t>
      </w:r>
    </w:p>
    <w:p>
      <w:pPr>
        <w:pStyle w:val="BodyText"/>
      </w:pPr>
      <w:r>
        <w:t xml:space="preserve">A análise clínica é estruturada como um funil de 6 estágios, executados sequencialmente quando o veterinário abre o pet. Logs de cada estágio são exibidos em ClinicalPipelineLogPanel para transparência integral.</w:t>
      </w:r>
    </w:p>
    <w:p>
      <w:pPr>
        <w:pStyle w:val="BodyText"/>
      </w:pPr>
      <w:r>
        <w:rPr>
          <w:b/>
          <w:bCs/>
        </w:rPr>
        <w:t xml:space="preserve">10.1 Estágio 1 — Coleta</w:t>
      </w:r>
    </w:p>
    <w:p>
      <w:pPr>
        <w:pStyle w:val="BodyText"/>
      </w:pPr>
      <w:r>
        <w:t xml:space="preserve">Combina (i) ração comercial atual com análise de adequação versus AAFCO/FEDIAF, (ii) exames laboratoriais (hematologia, bioquímica, urinálise — interpretados contra references caninos via examEnhancer), (iii) histórico clínico estruturado e narrativo (extract-pet-clinical-data extrai estrutura de texto livre quando vet preferir entrada conversacional), (iv) raça com lookup de Breed Predisposition AI.</w:t>
      </w:r>
    </w:p>
    <w:p>
      <w:pPr>
        <w:pStyle w:val="BodyText"/>
      </w:pPr>
      <w:r>
        <w:rPr>
          <w:b/>
          <w:bCs/>
        </w:rPr>
        <w:t xml:space="preserve">10.2 Estágio 2 — Canonicalização</w:t>
      </w:r>
    </w:p>
    <w:p>
      <w:pPr>
        <w:pStyle w:val="BodyText"/>
      </w:pPr>
      <w:r>
        <w:t xml:space="preserve">Cada string clínica recebida é resolvida contra clinical-name-canonicalizer e ontology-mapping-service: SNOMED-VetSCT para condições, UMLS para conceitos médicos, dicionários PT/EN customizados para nomes comerciais de fármacos. Conditions sem match canônico são marcadas e roteadas para a aba Ontology Audit.</w:t>
      </w:r>
    </w:p>
    <w:p>
      <w:pPr>
        <w:pStyle w:val="BodyText"/>
      </w:pPr>
      <w:r>
        <w:rPr>
          <w:b/>
          <w:bCs/>
        </w:rPr>
        <w:t xml:space="preserve">10.3 Estágio 3 — Patient Knowledge Subgraph</w:t>
      </w:r>
    </w:p>
    <w:p>
      <w:pPr>
        <w:pStyle w:val="BodyText"/>
      </w:pPr>
      <w:r>
        <w:t xml:space="preserve">O serviço extrai do Neo4j apenas os nós e arestas que sustentam relações com as condições, exames e medicamentos efetivamente presentes no pet. Este subgraph (tipicamente 40–120 nós) é renderizado em PatientKnowledgeSubgraph e serve como contexto explicável para qualquer recomendação subsequente — atende princípio de transparência (FDA) e Art. 13 EU AI Act.</w:t>
      </w:r>
    </w:p>
    <w:p>
      <w:pPr>
        <w:pStyle w:val="BodyText"/>
      </w:pPr>
      <w:r>
        <w:rPr>
          <w:b/>
          <w:bCs/>
        </w:rPr>
        <w:t xml:space="preserve">10.4 Estágio 4 — Cross-reference</w:t>
      </w:r>
    </w:p>
    <w:p>
      <w:pPr>
        <w:pStyle w:val="BodyText"/>
      </w:pPr>
      <w:r>
        <w:t xml:space="preserve">Clinical Discovery Cross-Reference Analysis cruza anomalias laboratoriais com medicamentos atuais e condições — detecta, por exemplo, hepatotoxicidade potencializada quando AST/ALT elevadas coincidem com uso de AINE crônico. Condition Insights edge function (Gemini 2.5 Flash) gera insight cards categorizados (condição, inferência, risco).</w:t>
      </w:r>
    </w:p>
    <w:p>
      <w:pPr>
        <w:pStyle w:val="BodyText"/>
      </w:pPr>
      <w:r>
        <w:rPr>
          <w:b/>
          <w:bCs/>
        </w:rPr>
        <w:t xml:space="preserve">10.5 Estágio 5 — Stack synergisticamente cap-eado</w:t>
      </w:r>
    </w:p>
    <w:p>
      <w:pPr>
        <w:pStyle w:val="BodyText"/>
      </w:pPr>
      <w:r>
        <w:t xml:space="preserve">hybrid-recommendation gera proposta com no máximo 8 compostos sinérgicos (regra de produto fixa, ver memória 'Individualized Recommendations'). A regra impede polifarmácia nutracêutica não-gerenciável. Ranking interno aplica synergy-scoring, contraindications-scoring, evidence-levels e outcome-scoring (todos em src/rules/general/). Compostos com contraindicação contra qualquer medicação atual ou condição ativa são bloqueados antes do top-8.</w:t>
      </w:r>
    </w:p>
    <w:p>
      <w:pPr>
        <w:pStyle w:val="BodyText"/>
      </w:pPr>
      <w:r>
        <w:rPr>
          <w:b/>
          <w:bCs/>
        </w:rPr>
        <w:t xml:space="preserve">10.6 Estágio 6 — Projeção</w:t>
      </w:r>
    </w:p>
    <w:p>
      <w:pPr>
        <w:pStyle w:val="BodyText"/>
      </w:pPr>
      <w:r>
        <w:t xml:space="preserve">Digital Twin produz projeção sigmoidal de severidade ao longo de 12 meses por condição (ConditionProgressionChart), projeção de melhoria global (ImprovementProjectionChart), comparação de cenários (ScenarioComparison: sem intervenção × stack proposto × stack alternativo) e estimativa de years_gained. Todas as métricas exibem banda de confiança e link clicável para os triplets KG que as sustentam.</w:t>
      </w:r>
    </w:p>
    <w:p>
      <w:pPr>
        <w:pStyle w:val="BodyText"/>
      </w:pPr>
      <w:r>
        <w:rPr>
          <w:b/>
          <w:bCs/>
        </w:rPr>
        <w:t xml:space="preserve">11. Sistema de recomendação híbrida</w:t>
      </w:r>
    </w:p>
    <w:p>
      <w:pPr>
        <w:pStyle w:val="BodyText"/>
      </w:pPr>
      <w:r>
        <w:t xml:space="preserve">hybrid-recommendation é a edge function central do sistema. Combina retrieval semântico (study_embeddings), traversal causal (Neo4j subgraph) e regras determinísticas (src/rules/general/) — uma arquitetura propositalmente híbrida para reduzir dependência de geração livre por LLM em decisões clínicas.</w:t>
      </w:r>
    </w:p>
    <w:p>
      <w:pPr>
        <w:pStyle w:val="BodyText"/>
      </w:pPr>
      <w:r>
        <w:rPr>
          <w:b/>
          <w:bCs/>
        </w:rPr>
        <w:t xml:space="preserve">11.1 Fluxo interno</w:t>
      </w:r>
    </w:p>
    <w:p>
      <w:pPr>
        <w:pStyle w:val="BodyText"/>
      </w:pPr>
      <w:r>
        <w:rPr>
          <w:b/>
          <w:bCs/>
        </w:rPr>
        <w:t xml:space="preserve">11.2 Justificação clínica</w:t>
      </w:r>
    </w:p>
    <w:p>
      <w:pPr>
        <w:pStyle w:val="BodyText"/>
      </w:pPr>
      <w:r>
        <w:t xml:space="preserve">Cada recomendação retornada vem com (a) lista de evidence triplets clicáveis, (b) score de confiança (recommendation-confidence-service), (c) badges de origem (manual base, AI extraction, drug lookup), (d) disclaimer de uso off-label quando aplicável (DrugLookupBadge), (e) flag se algum triplet usado tem evidence_level ≤ 2 (alerta visual).</w:t>
      </w:r>
    </w:p>
    <w:p>
      <w:pPr>
        <w:pStyle w:val="BodyText"/>
      </w:pPr>
      <w:r>
        <w:rPr>
          <w:b/>
          <w:bCs/>
        </w:rPr>
        <w:t xml:space="preserve">11.3 Loop do veterinário</w:t>
      </w:r>
    </w:p>
    <w:p>
      <w:pPr>
        <w:pStyle w:val="BodyText"/>
      </w:pPr>
      <w:r>
        <w:t xml:space="preserve">VetRecommendationPanel permite aceitar, modificar (adicionar/remover compostos do stack, alterar dosagem) ou rejeitar com justificativa textual. Toda decisão é gravada em recommendations + study_audit_logs com ator e diff. Esta granularidade satisfaz Art. 14 EU AI Act (human oversight com efeitos materiais sobre o output).</w:t>
      </w:r>
    </w:p>
    <w:p>
      <w:pPr>
        <w:pStyle w:val="BodyText"/>
      </w:pPr>
      <w:r>
        <w:rPr>
          <w:b/>
          <w:bCs/>
        </w:rPr>
        <w:t xml:space="preserve">12. Gêmeo Digital — projeção sigmoidal de desfechos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Figura 6 — Arquitetura do gêmeo digital: inputs, engine, outputs e validação." title="Figura 6 — Arquitetura do gêmeo digital: inputs, engine, outputs e validação." id="29" name="Picture"/>
            <a:graphic>
              <a:graphicData uri="http://schemas.openxmlformats.org/drawingml/2006/picture">
                <pic:pic>
                  <pic:nvPicPr>
                    <pic:cNvPr descr="v3_media2/media/702e8956c6c869509792f7668284ba96f8c3436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Figura 6 — Arquitetura do gêmeo digital: inputs, engine, outputs e validação.</w:t>
      </w:r>
    </w:p>
    <w:p>
      <w:pPr>
        <w:pStyle w:val="BodyText"/>
      </w:pPr>
      <w:r>
        <w:rPr>
          <w:b/>
          <w:bCs/>
        </w:rPr>
        <w:t xml:space="preserve">12.1 Modelo matemático</w:t>
      </w:r>
    </w:p>
    <w:p>
      <w:pPr>
        <w:pStyle w:val="BodyText"/>
      </w:pPr>
      <w:r>
        <w:t xml:space="preserve">Adotamos curva logística σ(t) = L / (1 + e^(-k(t - t₀))) por composto × condição, onde L é a melhoria máxima projetada (limitada pela severidade baseline e pela evidência KG), k é a taxa derivada de evidence_level, years_gained sumário e synergy do stack, e t₀ é o tempo até inflexão (default 90 dias para nutracêuticos). A composição de múltiplos compostos usa soma com damping para evitar superestimação aditiva.</w:t>
      </w:r>
    </w:p>
    <w:p>
      <w:pPr>
        <w:pStyle w:val="BodyText"/>
      </w:pPr>
      <w:r>
        <w:rPr>
          <w:b/>
          <w:bCs/>
        </w:rPr>
        <w:t xml:space="preserve">12.2 Engine</w:t>
      </w:r>
    </w:p>
    <w:p>
      <w:pPr>
        <w:pStyle w:val="BodyText"/>
      </w:pPr>
      <w:r>
        <w:t xml:space="preserve">Implementação em src/services/biological-timeline-engine.ts e condition-progression-engine.ts. Inputs: severidade baseline (0–1), idade, raça, porte, comorbidades ativas, stack proposto e métricas KG agregadas. Outputs: três séries temporais de 12 meses (sem-intervenção, stack proposto, alternativa), bandas de confiança 80%/95%, métrica years_gained projetada. Tudo logado em DigitalTwinLogPanel.</w:t>
      </w:r>
    </w:p>
    <w:p>
      <w:pPr>
        <w:pStyle w:val="BodyText"/>
      </w:pPr>
      <w:r>
        <w:rPr>
          <w:b/>
          <w:bCs/>
        </w:rPr>
        <w:t xml:space="preserve">12.3 Validação e limitações</w:t>
      </w:r>
    </w:p>
    <w:p>
      <w:pPr>
        <w:pStyle w:val="BodyText"/>
      </w:pPr>
      <w:r>
        <w:t xml:space="preserve">Esta é a área de maior risco regulatório do sistema e está classificada como gap P0 ativo. As projeções são in-silico, derivadas exclusivamente do KG curado e da literatura indexada — não há ainda dados de coorte longitudinal pós-deploy para validar magnitude. As mitigações atuais são: (a) disclaimer permanente em toda visualização do twin; (b) banda de confiança visível; (c) flag forte quando evidence_level médio &lt; 3; (d) edge function calculate-recommendation-confidence reduz o twin para output minimal quando evidência insuficiente. A mitigação estrutural (RWPM com tabela outcome_observations) está descrita em §24.</w:t>
      </w:r>
    </w:p>
    <w:p>
      <w:pPr>
        <w:pStyle w:val="BodyText"/>
      </w:pPr>
      <w:r>
        <w:rPr>
          <w:b/>
          <w:bCs/>
        </w:rPr>
        <w:t xml:space="preserve">13. Jornada real do revisor veterinário</w:t>
      </w:r>
    </w:p>
    <w:p>
      <w:pPr>
        <w:pStyle w:val="BodyText"/>
      </w:pPr>
      <w:r>
        <w:drawing>
          <wp:inline>
            <wp:extent cx="5334000" cy="1778000"/>
            <wp:effectExtent b="0" l="0" r="0" t="0"/>
            <wp:docPr descr="Figura 7 — Swimlane atual: revisor humano × Triplet Bank × KG." title="Figura 7 — Swimlane atual: revisor humano × Triplet Bank × KG." id="32" name="Picture"/>
            <a:graphic>
              <a:graphicData uri="http://schemas.openxmlformats.org/drawingml/2006/picture">
                <pic:pic>
                  <pic:nvPicPr>
                    <pic:cNvPr descr="v3_media2/media/f0f22e38626f7c6bbf3fa4de450884afe2198d9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Figura 7 — Swimlane atual: revisor humano × Triplet Bank × KG.</w:t>
      </w:r>
    </w:p>
    <w:p>
      <w:pPr>
        <w:pStyle w:val="BodyText"/>
      </w:pPr>
      <w:r>
        <w:t xml:space="preserve">Esta seção descreve fielmente o fluxo hoje em produção, incluindo atritos.</w:t>
      </w:r>
    </w:p>
    <w:p>
      <w:pPr>
        <w:pStyle w:val="BodyText"/>
      </w:pPr>
      <w:r>
        <w:rPr>
          <w:b/>
          <w:bCs/>
        </w:rPr>
        <w:t xml:space="preserve">13.1 Login e contextualização</w:t>
      </w:r>
    </w:p>
    <w:p>
      <w:pPr>
        <w:pStyle w:val="BodyText"/>
      </w:pPr>
      <w:r>
        <w:t xml:space="preserve">Veterinário autentica via Lovable Cloud (Google OAuth ou e-mail/senha). ProtectedRoute valida sessão; AccessAllowlist filtra acessos pendentes (StanfordDemoForm para demo); has_role('vet') libera as abas de curadoria. Uma melhoria prevista é landing por papel (default vai para a lista de pets — vet sente mais atrito que necessário até chegar à curadoria).</w:t>
      </w:r>
    </w:p>
    <w:p>
      <w:pPr>
        <w:pStyle w:val="BodyText"/>
      </w:pPr>
      <w:r>
        <w:rPr>
          <w:b/>
          <w:bCs/>
        </w:rPr>
        <w:t xml:space="preserve">13.2 Triplet Bank</w:t>
      </w:r>
    </w:p>
    <w:p>
      <w:pPr>
        <w:pStyle w:val="BodyText"/>
      </w:pPr>
      <w:r>
        <w:t xml:space="preserve">Triplet Bank Management exibe a fila de pendentes (auto-approve threshold 0.50). Filtros: estudo, predicado, camada, intensity, espécie, idade. Cada linha mostra excerpt-fonte da página exata do PDF (parser preserva offset textual), permitindo comparação direta entre asserção do LLM e literatura.</w:t>
      </w:r>
    </w:p>
    <w:p>
      <w:pPr>
        <w:pStyle w:val="BodyText"/>
      </w:pPr>
      <w:r>
        <w:rPr>
          <w:b/>
          <w:bCs/>
        </w:rPr>
        <w:t xml:space="preserve">13.3 Inline chat e enrichment</w:t>
      </w:r>
    </w:p>
    <w:p>
      <w:pPr>
        <w:pStyle w:val="BodyText"/>
      </w:pPr>
      <w:r>
        <w:t xml:space="preserve">Para cada triplet, o vet pode (a) abrir chat focal com o LLM (CompoundSpecificChat herdou esta UI) para esclarecer mecanismo, (b) acionar enrich-triplet (Gemini 2.5 Flash) para sinônimos PT, layer reclassification e suggestions de predicate normalization, (c) ver triplets relacionados no mesmo (composto, condição). Notas livres são gravadas para futura revisão.</w:t>
      </w:r>
    </w:p>
    <w:p>
      <w:pPr>
        <w:pStyle w:val="BodyText"/>
      </w:pPr>
      <w:r>
        <w:rPr>
          <w:b/>
          <w:bCs/>
        </w:rPr>
        <w:t xml:space="preserve">13.4 Decisão e propagação</w:t>
      </w:r>
    </w:p>
    <w:p>
      <w:pPr>
        <w:pStyle w:val="BodyText"/>
      </w:pPr>
      <w:r>
        <w:t xml:space="preserve">Aprovar dispara sync-study-to-neo4j; modificar persiste delta em triplet_extractions e re-encaminha para aprovação; rejeitar exige justificativa textual mínima e remove o candidato sem afetar o estudo-fonte. Tudo logado em study_audit_logs com role='vet'.</w:t>
      </w:r>
    </w:p>
    <w:p>
      <w:pPr>
        <w:pStyle w:val="BodyText"/>
      </w:pPr>
      <w:r>
        <w:rPr>
          <w:b/>
          <w:bCs/>
        </w:rPr>
        <w:t xml:space="preserve">13.5 Atritos reais documentados</w:t>
      </w:r>
    </w:p>
    <w:p>
      <w:pPr>
        <w:pStyle w:val="BodyText"/>
      </w:pPr>
      <w:r>
        <w:rPr>
          <w:b/>
          <w:bCs/>
        </w:rPr>
        <w:t xml:space="preserve">14. Jornada prevista do revisor (roadmap UX)</w:t>
      </w:r>
    </w:p>
    <w:p>
      <w:pPr>
        <w:pStyle w:val="BodyText"/>
      </w:pPr>
      <w:r>
        <w:t xml:space="preserve">Mapeamos quatro evoluções de produto que reduzem dramaticamente o esforço de curadoria sem comprometer rigor:</w:t>
      </w:r>
    </w:p>
    <w:p>
      <w:pPr>
        <w:pStyle w:val="BodyText"/>
      </w:pPr>
      <w:r>
        <w:t xml:space="preserve">Estimativa: estas seis melhorias somadas devem elevar throughput de curadoria em ~2,5×, mantendo a curation gatekeeper intacta. Implementação prioritária P1, fase 2026-Q3.</w:t>
      </w:r>
    </w:p>
    <w:p>
      <w:pPr>
        <w:pStyle w:val="BodyText"/>
      </w:pPr>
      <w:r>
        <w:rPr>
          <w:b/>
          <w:bCs/>
        </w:rPr>
        <w:t xml:space="preserve">15. Jornada real do estudo científico</w:t>
      </w:r>
    </w:p>
    <w:p>
      <w:pPr>
        <w:pStyle w:val="BodyText"/>
      </w:pPr>
      <w:r>
        <w:drawing>
          <wp:inline>
            <wp:extent cx="5334000" cy="2844800"/>
            <wp:effectExtent b="0" l="0" r="0" t="0"/>
            <wp:docPr descr="Figura 8 — Linha do tempo do estudo, do upload ao engine de recomendação." title="Figura 8 — Linha do tempo do estudo, do upload ao engine de recomendação." id="35" name="Picture"/>
            <a:graphic>
              <a:graphicData uri="http://schemas.openxmlformats.org/drawingml/2006/picture">
                <pic:pic>
                  <pic:nvPicPr>
                    <pic:cNvPr descr="v3_media2/media/9309f2c0d71985109466c6c0633fe7544c7ca33c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Figura 8 — Linha do tempo do estudo, do upload ao engine de recomendação.</w:t>
      </w:r>
    </w:p>
    <w:p>
      <w:pPr>
        <w:pStyle w:val="BodyText"/>
      </w:pPr>
      <w:r>
        <w:t xml:space="preserve">Acompanhamos um estudo médio (revisão sistemática sobre curcumina em osteoartrite canina) através do sistema:</w:t>
      </w:r>
    </w:p>
    <w:p>
      <w:pPr>
        <w:pStyle w:val="BodyText"/>
      </w:pPr>
      <w:r>
        <w:rPr>
          <w:b/>
          <w:bCs/>
        </w:rPr>
        <w:t xml:space="preserve">15.1 Métricas reais agregadas</w:t>
      </w:r>
    </w:p>
    <w:p>
      <w:pPr>
        <w:pStyle w:val="BodyText"/>
      </w:pPr>
      <w:r>
        <w:t xml:space="preserve">Médias atuais sobre os ~210 estudos digeridos: 38 candidatos/estudo (Stage 1) → 28 validados (Stage 2, taxa de retenção 73%) → 9 auto-aprovados (32%) + 19 enviados a manual (taxa de aprovação manual 81%). Custo médio total de digestão: USD 0,42/estudo (Gemini é responsável por 71% deste custo, GPT-5 Mini por 29%). Tempo médio entre upload e disponibilidade no KG (incluindo revisão humana): 47 minutos.</w:t>
      </w:r>
    </w:p>
    <w:p>
      <w:pPr>
        <w:pStyle w:val="BodyText"/>
      </w:pPr>
      <w:r>
        <w:rPr>
          <w:b/>
          <w:bCs/>
        </w:rPr>
        <w:t xml:space="preserve">16. Jornada prevista do estudo (roadmap)</w:t>
      </w:r>
    </w:p>
    <w:p>
      <w:pPr>
        <w:pStyle w:val="BodyText"/>
      </w:pPr>
      <w:r>
        <w:rPr>
          <w:b/>
          <w:bCs/>
        </w:rPr>
        <w:t xml:space="preserve">17. Comparação MedGraphRAG × VetGraphRAG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a 9 — Comparação dimensional MedGraphRAG (referência teórica) × VetGraphRAG (nossa implementação)." title="Figura 9 — Comparação dimensional MedGraphRAG (referência teórica) × VetGraphRAG (nossa implementação)." id="38" name="Picture"/>
            <a:graphic>
              <a:graphicData uri="http://schemas.openxmlformats.org/drawingml/2006/picture">
                <pic:pic>
                  <pic:nvPicPr>
                    <pic:cNvPr descr="v3_media2/media/d128617bebb556a6860d92ee03bb8e4967a6422a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Figura 9 — Comparação dimensional MedGraphRAG (referência teórica) × VetGraphRAG (nossa implementação).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7"/>
        <w:gridCol w:w="2030"/>
        <w:gridCol w:w="2284"/>
        <w:gridCol w:w="19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MedGraphRAG (Wu et al. 2024)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VetGraphRAG (este projeto)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Comentário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Medicina humana</w:t>
            </w:r>
          </w:p>
        </w:tc>
        <w:tc>
          <w:tcPr/>
          <w:p>
            <w:pPr>
              <w:pStyle w:val="Compact"/>
            </w:pPr>
            <w:r>
              <w:t xml:space="preserve">Veterinária canina (metabólico/degenerativo)</w:t>
            </w:r>
          </w:p>
        </w:tc>
        <w:tc>
          <w:tcPr/>
          <w:p>
            <w:pPr>
              <w:pStyle w:val="Compact"/>
            </w:pPr>
            <w:r>
              <w:t xml:space="preserve">Escopo deliberadamente estreito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Camadas do grafo</w:t>
            </w:r>
          </w:p>
        </w:tc>
        <w:tc>
          <w:tcPr/>
          <w:p>
            <w:pPr>
              <w:pStyle w:val="Compact"/>
            </w:pPr>
            <w:r>
              <w:t xml:space="preserve">3 (User documents → Medical books → Medical dictionaries)</w:t>
            </w:r>
          </w:p>
        </w:tc>
        <w:tc>
          <w:tcPr/>
          <w:p>
            <w:pPr>
              <w:pStyle w:val="Compact"/>
            </w:pPr>
            <w:r>
              <w:t xml:space="preserve">5 (L0 Compound → L4 Outcome)</w:t>
            </w:r>
          </w:p>
        </w:tc>
        <w:tc>
          <w:tcPr/>
          <w:p>
            <w:pPr>
              <w:pStyle w:val="Compact"/>
            </w:pPr>
            <w:r>
              <w:t xml:space="preserve">Mais granular, otimizado para causalidade nutracêutica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U-Retrieval</w:t>
            </w:r>
          </w:p>
        </w:tc>
        <w:tc>
          <w:tcPr/>
          <w:p>
            <w:pPr>
              <w:pStyle w:val="Compact"/>
            </w:pPr>
            <w:r>
              <w:t xml:space="preserve">Top-down + bottom-up híbrido</w:t>
            </w:r>
          </w:p>
        </w:tc>
        <w:tc>
          <w:tcPr/>
          <w:p>
            <w:pPr>
              <w:pStyle w:val="Compact"/>
            </w:pPr>
            <w:r>
              <w:t xml:space="preserve">Hybrid retrieval (vetor + BM25 + grafo) sem U-completo</w:t>
            </w:r>
          </w:p>
        </w:tc>
        <w:tc>
          <w:tcPr/>
          <w:p>
            <w:pPr>
              <w:pStyle w:val="Compact"/>
            </w:pPr>
            <w:r>
              <w:t xml:space="preserve">Gap; planejado community summaries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Triplet schema</w:t>
            </w:r>
          </w:p>
        </w:tc>
        <w:tc>
          <w:tcPr/>
          <w:p>
            <w:pPr>
              <w:pStyle w:val="Compact"/>
            </w:pPr>
            <w:r>
              <w:t xml:space="preserve">Tag-based, evidence-grounded</w:t>
            </w:r>
          </w:p>
        </w:tc>
        <w:tc>
          <w:tcPr/>
          <w:p>
            <w:pPr>
              <w:pStyle w:val="Compact"/>
            </w:pPr>
            <w:r>
              <w:t xml:space="preserve">Predicate-normalized, evidence_level 1–5, intensity (-1..+1)</w:t>
            </w:r>
          </w:p>
        </w:tc>
        <w:tc>
          <w:tcPr/>
          <w:p>
            <w:pPr>
              <w:pStyle w:val="Compact"/>
            </w:pPr>
            <w:r>
              <w:t xml:space="preserve">Schema mais rico, dictionary-controlled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Curadoria humana</w:t>
            </w:r>
          </w:p>
        </w:tc>
        <w:tc>
          <w:tcPr/>
          <w:p>
            <w:pPr>
              <w:pStyle w:val="Compact"/>
            </w:pPr>
            <w:r>
              <w:t xml:space="preserve">Não exigida no paper</w:t>
            </w:r>
          </w:p>
        </w:tc>
        <w:tc>
          <w:tcPr/>
          <w:p>
            <w:pPr>
              <w:pStyle w:val="Compact"/>
            </w:pPr>
            <w:r>
              <w:t xml:space="preserve">Obrigatória (gatekeeper) exceto auto-approve ≥0.50</w:t>
            </w:r>
          </w:p>
        </w:tc>
        <w:tc>
          <w:tcPr/>
          <w:p>
            <w:pPr>
              <w:pStyle w:val="Compact"/>
            </w:pPr>
            <w:r>
              <w:t xml:space="preserve">Vantagem regulatória decisiva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clínica</w:t>
            </w:r>
          </w:p>
        </w:tc>
        <w:tc>
          <w:tcPr/>
          <w:p>
            <w:pPr>
              <w:pStyle w:val="Compact"/>
            </w:pPr>
            <w:r>
              <w:t xml:space="preserve">Benchmarks NLP (PubMedQA, etc.)</w:t>
            </w:r>
          </w:p>
        </w:tc>
        <w:tc>
          <w:tcPr/>
          <w:p>
            <w:pPr>
              <w:pStyle w:val="Compact"/>
            </w:pPr>
            <w:r>
              <w:t xml:space="preserve">KG provenance + Digital Twin in-silico (RWPM ausente)</w:t>
            </w:r>
          </w:p>
        </w:tc>
        <w:tc>
          <w:tcPr/>
          <w:p>
            <w:pPr>
              <w:pStyle w:val="Compact"/>
            </w:pPr>
            <w:r>
              <w:t xml:space="preserve">Falta validação de coorte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Multilíngue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PT/EN em todas as camadas</w:t>
            </w:r>
          </w:p>
        </w:tc>
        <w:tc>
          <w:tcPr/>
          <w:p>
            <w:pPr>
              <w:pStyle w:val="Compact"/>
            </w:pPr>
            <w:r>
              <w:t xml:space="preserve">Necessidade do mercado-alvo 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Auditabilidade</w:t>
            </w:r>
          </w:p>
        </w:tc>
        <w:tc>
          <w:tcPr/>
          <w:p>
            <w:pPr>
              <w:pStyle w:val="Compact"/>
            </w:pPr>
            <w:r>
              <w:t xml:space="preserve">Implícita na arquitetura</w:t>
            </w:r>
          </w:p>
        </w:tc>
        <w:tc>
          <w:tcPr/>
          <w:p>
            <w:pPr>
              <w:pStyle w:val="Compact"/>
            </w:pPr>
            <w:r>
              <w:t xml:space="preserve">Explícita: study_audit_logs append-only + UI de log</w:t>
            </w:r>
          </w:p>
        </w:tc>
        <w:tc>
          <w:tcPr/>
          <w:p>
            <w:pPr>
              <w:pStyle w:val="Compact"/>
            </w:pPr>
            <w:r>
              <w:t xml:space="preserve">Conformidade EU AI Act Art.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mitigation</w:t>
            </w:r>
          </w:p>
        </w:tc>
        <w:tc>
          <w:tcPr/>
          <w:p>
            <w:pPr>
              <w:pStyle w:val="Compact"/>
            </w:pPr>
            <w:r>
              <w:t xml:space="preserve">Não detalhado</w:t>
            </w:r>
          </w:p>
        </w:tc>
        <w:tc>
          <w:tcPr/>
          <w:p>
            <w:pPr>
              <w:pStyle w:val="Compact"/>
            </w:pPr>
            <w:r>
              <w:t xml:space="preserve">Dictionaries SNOMED/UMLS, escopo único declarado</w:t>
            </w:r>
          </w:p>
        </w:tc>
        <w:tc>
          <w:tcPr/>
          <w:p>
            <w:pPr>
              <w:pStyle w:val="Compact"/>
            </w:pPr>
            <w:r>
              <w:t xml:space="preserve">Trade-off: cobertura vs. controle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Pesquisa</w:t>
            </w:r>
          </w:p>
        </w:tc>
        <w:tc>
          <w:tcPr/>
          <w:p>
            <w:pPr>
              <w:pStyle w:val="Compact"/>
            </w:pPr>
            <w:r>
              <w:t xml:space="preserve">Produção (Lovable Cloud, RLS, Edge Functions)</w:t>
            </w:r>
          </w:p>
        </w:tc>
        <w:tc>
          <w:tcPr/>
          <w:p>
            <w:pPr>
              <w:pStyle w:val="Compact"/>
            </w:pPr>
            <w:r>
              <w:t xml:space="preserve">Diferença operacional importante</w:t>
            </w:r>
          </w:p>
        </w:tc>
      </w:tr>
    </w:tbl>
    <w:p>
      <w:pPr>
        <w:pStyle w:val="BodyText"/>
      </w:pPr>
      <w:r>
        <w:t xml:space="preserve">Outras inspirações relevantes: Microsoft GraphRAG (community summaries — não adotado ainda); Med-PaLM 2 (qualidade de generation médica — usamos GPT-5 e Gemini 2.5 Pro como aproximações via gateway); RAG seminal de Lewis et al. (2020) é a base conceitual de toda a recuperação.</w:t>
      </w:r>
    </w:p>
    <w:p>
      <w:pPr>
        <w:pStyle w:val="BodyText"/>
      </w:pPr>
      <w:r>
        <w:rPr>
          <w:b/>
          <w:bCs/>
        </w:rPr>
        <w:t xml:space="preserve">18. Conformidade FDA — matriz ponto a ponto</w:t>
      </w:r>
    </w:p>
    <w:p>
      <w:pPr>
        <w:pStyle w:val="BodyText"/>
      </w:pPr>
      <w:r>
        <w:t xml:space="preserve">Mapa entre requisitos do FDA Draft Guidance (jan/2025)</w:t>
      </w:r>
    </w:p>
    <w:p>
      <w:pPr>
        <w:pStyle w:val="BodyText"/>
      </w:pPr>
      <w:r>
        <w:t xml:space="preserve">Mapa entre requisitos do FDA Draft Guidance (jan/2025)</w:t>
      </w:r>
      <w:r>
        <w:rPr>
          <w:rStyle w:val="FootnoteReference"/>
        </w:rPr>
        <w:footnoteReference w:id="40"/>
      </w:r>
      <w:r>
        <w:t xml:space="preserve"> </w:t>
      </w:r>
      <w:r>
        <w:t xml:space="preserve">e GMLP</w:t>
      </w:r>
      <w:r>
        <w:rPr>
          <w:rStyle w:val="FootnoteReference"/>
        </w:rPr>
        <w:footnoteReference w:id="41"/>
      </w:r>
      <w:r>
        <w:t xml:space="preserve"> </w:t>
      </w:r>
      <w:r>
        <w:t xml:space="preserve">contra evidências reais do código: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1"/>
        <w:gridCol w:w="2453"/>
        <w:gridCol w:w="1100"/>
        <w:gridCol w:w="930"/>
        <w:gridCol w:w="15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Predetermined Change Control Plan (PCCP)</w:t>
            </w:r>
          </w:p>
        </w:tc>
        <w:tc>
          <w:tcPr/>
          <w:p>
            <w:pPr>
              <w:pStyle w:val="Compact"/>
            </w:pPr>
            <w:r>
              <w:t xml:space="preserve">CHANGELOG.md + I18N_VERSION + supabase/migrations/ + ai_prompts versioned</w:t>
            </w:r>
          </w:p>
        </w:tc>
        <w:tc>
          <w:tcPr/>
          <w:p>
            <w:pPr>
              <w:pStyle w:val="Compact"/>
            </w:pPr>
            <w:r>
              <w:t xml:space="preserve">Atende (técnico)</w:t>
            </w:r>
          </w:p>
        </w:tc>
        <w:tc>
          <w:tcPr/>
          <w:p>
            <w:pPr>
              <w:pStyle w:val="Compact"/>
            </w:pPr>
            <w:r>
              <w:t xml:space="preserve">P2/S</w:t>
            </w:r>
          </w:p>
        </w:tc>
        <w:tc>
          <w:tcPr/>
          <w:p>
            <w:pPr>
              <w:pStyle w:val="Compact"/>
            </w:pPr>
            <w:r>
              <w:t xml:space="preserve">Formalizar em documento assinado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 Princípio 1 — Multi-disciplinary expertise</w:t>
            </w:r>
          </w:p>
        </w:tc>
        <w:tc>
          <w:tcPr/>
          <w:p>
            <w:pPr>
              <w:pStyle w:val="Compact"/>
            </w:pPr>
            <w:r>
              <w:t xml:space="preserve">Equipe multidisciplinar declarada; código em docs/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P3/S</w:t>
            </w:r>
          </w:p>
        </w:tc>
        <w:tc>
          <w:tcPr/>
          <w:p>
            <w:pPr>
              <w:pStyle w:val="Compact"/>
            </w:pPr>
            <w:r>
              <w:t xml:space="preserve">Publicar org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 P2 — Good software engineering</w:t>
            </w:r>
          </w:p>
        </w:tc>
        <w:tc>
          <w:tcPr/>
          <w:p>
            <w:pPr>
              <w:pStyle w:val="Compact"/>
            </w:pPr>
            <w:r>
              <w:t xml:space="preserve">TypeScript estrito, RLS, validation triggers, tests vitest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P3/S</w:t>
            </w:r>
          </w:p>
        </w:tc>
        <w:tc>
          <w:tcPr/>
          <w:p>
            <w:pPr>
              <w:pStyle w:val="Compact"/>
            </w:pPr>
            <w:r>
              <w:t xml:space="preserve">Aumentar cobertura de testes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 P3 — Clinical study representation</w:t>
            </w:r>
          </w:p>
        </w:tc>
        <w:tc>
          <w:tcPr/>
          <w:p>
            <w:pPr>
              <w:pStyle w:val="Compact"/>
            </w:pPr>
            <w:r>
              <w:t xml:space="preserve">Apenas canino documentado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P1/M</w:t>
            </w:r>
          </w:p>
        </w:tc>
        <w:tc>
          <w:tcPr/>
          <w:p>
            <w:pPr>
              <w:pStyle w:val="Compact"/>
            </w:pPr>
            <w:r>
              <w:t xml:space="preserve">Publicar dataset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 P4 — Training data independence from test</w:t>
            </w:r>
          </w:p>
        </w:tc>
        <w:tc>
          <w:tcPr/>
          <w:p>
            <w:pPr>
              <w:pStyle w:val="Compact"/>
            </w:pPr>
            <w:r>
              <w:t xml:space="preserve">Não há split formal training/eval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P1/M</w:t>
            </w:r>
          </w:p>
        </w:tc>
        <w:tc>
          <w:tcPr/>
          <w:p>
            <w:pPr>
              <w:pStyle w:val="Compact"/>
            </w:pPr>
            <w:r>
              <w:t xml:space="preserve">Documentar holdout para Stage 2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 P5 — Reference standard</w:t>
            </w:r>
          </w:p>
        </w:tc>
        <w:tc>
          <w:tcPr/>
          <w:p>
            <w:pPr>
              <w:pStyle w:val="Compact"/>
            </w:pPr>
            <w:r>
              <w:t xml:space="preserve">SNOMED-VetSCT, UMLS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P3/S</w:t>
            </w:r>
          </w:p>
        </w:tc>
        <w:tc>
          <w:tcPr/>
          <w:p>
            <w:pPr>
              <w:pStyle w:val="Compact"/>
            </w:pPr>
            <w:r>
              <w:t xml:space="preserve">Versionar 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 P6 — Model design tailored to data</w:t>
            </w:r>
          </w:p>
        </w:tc>
        <w:tc>
          <w:tcPr/>
          <w:p>
            <w:pPr>
              <w:pStyle w:val="Compact"/>
            </w:pPr>
            <w:r>
              <w:t xml:space="preserve">Pipeline 3-stage com modelo correto por etapa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P3/S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 P7 — Human-AI team performance</w:t>
            </w:r>
          </w:p>
        </w:tc>
        <w:tc>
          <w:tcPr/>
          <w:p>
            <w:pPr>
              <w:pStyle w:val="Compact"/>
            </w:pPr>
            <w:r>
              <w:t xml:space="preserve">Vet override gravado; falta métrica formal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P1/M</w:t>
            </w:r>
          </w:p>
        </w:tc>
        <w:tc>
          <w:tcPr/>
          <w:p>
            <w:pPr>
              <w:pStyle w:val="Compact"/>
            </w:pPr>
            <w:r>
              <w:t xml:space="preserve">Dashboard human-AI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 P8 — Testing demonstrates device performance</w:t>
            </w:r>
          </w:p>
        </w:tc>
        <w:tc>
          <w:tcPr/>
          <w:p>
            <w:pPr>
              <w:pStyle w:val="Compact"/>
            </w:pPr>
            <w:r>
              <w:t xml:space="preserve">Métricas operacionais §28; sem clinical performance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P0/L</w:t>
            </w:r>
          </w:p>
        </w:tc>
        <w:tc>
          <w:tcPr/>
          <w:p>
            <w:pPr>
              <w:pStyle w:val="Compact"/>
            </w:pPr>
            <w:r>
              <w:t xml:space="preserve">RWPM (ver abaixo)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 P9 — Users provided clear info</w:t>
            </w:r>
          </w:p>
        </w:tc>
        <w:tc>
          <w:tcPr/>
          <w:p>
            <w:pPr>
              <w:pStyle w:val="Compact"/>
            </w:pPr>
            <w:r>
              <w:t xml:space="preserve">Insight cards, badges, disclaimers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P3/S</w:t>
            </w:r>
          </w:p>
        </w:tc>
        <w:tc>
          <w:tcPr/>
          <w:p>
            <w:pPr>
              <w:pStyle w:val="Compact"/>
            </w:pPr>
            <w:r>
              <w:t xml:space="preserve">Model card por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GMLP P10 — Deployed models monitored &amp; retrained</w:t>
            </w:r>
          </w:p>
        </w:tc>
        <w:tc>
          <w:tcPr/>
          <w:p>
            <w:pPr>
              <w:pStyle w:val="Compact"/>
            </w:pPr>
            <w:r>
              <w:t xml:space="preserve">Sem cohort tracking pós-deploy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P0/L</w:t>
            </w:r>
          </w:p>
        </w:tc>
        <w:tc>
          <w:tcPr/>
          <w:p>
            <w:pPr>
              <w:pStyle w:val="Compact"/>
            </w:pPr>
            <w:r>
              <w:t xml:space="preserve">outcome_observations + dashboard longitudinal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 for users</w:t>
            </w:r>
          </w:p>
        </w:tc>
        <w:tc>
          <w:tcPr/>
          <w:p>
            <w:pPr>
              <w:pStyle w:val="Compact"/>
            </w:pPr>
            <w:r>
              <w:t xml:space="preserve">ClinicalPipelineLogPanel, EvidenceGapLogPanel, DrugLookupBadge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P2/S</w:t>
            </w:r>
          </w:p>
        </w:tc>
        <w:tc>
          <w:tcPr/>
          <w:p>
            <w:pPr>
              <w:pStyle w:val="Compact"/>
            </w:pPr>
            <w:r>
              <w:t xml:space="preserve">Sumário de governança visível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Performance Monitoring</w:t>
            </w:r>
          </w:p>
        </w:tc>
        <w:tc>
          <w:tcPr/>
          <w:p>
            <w:pPr>
              <w:pStyle w:val="Compact"/>
            </w:pPr>
            <w:r>
              <w:t xml:space="preserve">Inexistente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P0/L</w:t>
            </w:r>
          </w:p>
        </w:tc>
        <w:tc>
          <w:tcPr/>
          <w:p>
            <w:pPr>
              <w:pStyle w:val="Compact"/>
            </w:pPr>
            <w:r>
              <w:t xml:space="preserve">Tabela outcome_observations + ingestão de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mitigation &amp; subgroup performance</w:t>
            </w:r>
          </w:p>
        </w:tc>
        <w:tc>
          <w:tcPr/>
          <w:p>
            <w:pPr>
              <w:pStyle w:val="Compact"/>
            </w:pPr>
            <w:r>
              <w:t xml:space="preserve">Bilinguismo, dictionaries; sem análise por raça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P1/M</w:t>
            </w:r>
          </w:p>
        </w:tc>
        <w:tc>
          <w:tcPr/>
          <w:p>
            <w:pPr>
              <w:pStyle w:val="Compact"/>
            </w:pPr>
            <w:r>
              <w:t xml:space="preserve">Relatório por raça/porte trimestral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&amp; integrity</w:t>
            </w:r>
          </w:p>
        </w:tc>
        <w:tc>
          <w:tcPr/>
          <w:p>
            <w:pPr>
              <w:pStyle w:val="Compact"/>
            </w:pPr>
            <w:r>
              <w:t xml:space="preserve">No-mock policy, gatekeeper, SHA-256 dedup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P2/S</w:t>
            </w:r>
          </w:p>
        </w:tc>
        <w:tc>
          <w:tcPr/>
          <w:p>
            <w:pPr>
              <w:pStyle w:val="Compact"/>
            </w:pPr>
            <w:r>
              <w:t xml:space="preserve">Auditoria periódica automatizada</w:t>
            </w:r>
          </w:p>
        </w:tc>
      </w:tr>
    </w:tbl>
    <w:p>
      <w:pPr>
        <w:pStyle w:val="BodyText"/>
      </w:pPr>
      <w:r>
        <w:t xml:space="preserve">Resumo FDA: 9 requisitos atendem, 4 parciais, 3 gaps (todos P0 ou P1, todos rastreados em §24).</w:t>
      </w:r>
    </w:p>
    <w:p>
      <w:pPr>
        <w:pStyle w:val="BodyText"/>
      </w:pPr>
      <w:r>
        <w:rPr>
          <w:b/>
          <w:bCs/>
        </w:rPr>
        <w:t xml:space="preserve">19. Conformidade EMA + EU AI Act</w:t>
      </w:r>
    </w:p>
    <w:p>
      <w:pPr>
        <w:pStyle w:val="BodyText"/>
      </w:pPr>
      <w:r>
        <w:t xml:space="preserve">Reflection Paper EMA set/2024</w:t>
      </w:r>
      <w:r>
        <w:rPr>
          <w:rStyle w:val="FootnoteReference"/>
        </w:rPr>
        <w:footnoteReference w:id="42"/>
      </w:r>
      <w:r>
        <w:t xml:space="preserve"> </w:t>
      </w:r>
      <w:r>
        <w:t xml:space="preserve">e Regulamento (UE) 2024/1689 (AI Act)</w:t>
      </w:r>
      <w:r>
        <w:rPr>
          <w:rStyle w:val="FootnoteReference"/>
        </w:rPr>
        <w:footnoteReference w:id="43"/>
      </w:r>
      <w:r>
        <w:t xml:space="preserve"> </w:t>
      </w:r>
      <w:r>
        <w:t xml:space="preserve">cobertos: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1"/>
        <w:gridCol w:w="2961"/>
        <w:gridCol w:w="1100"/>
        <w:gridCol w:w="19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Classificação como sistema de IA de alto risco</w:t>
            </w:r>
          </w:p>
        </w:tc>
        <w:tc>
          <w:tcPr/>
          <w:p>
            <w:pPr>
              <w:pStyle w:val="Compact"/>
            </w:pPr>
            <w:r>
              <w:t xml:space="preserve">Apoio à decisão clínica veterinária — fora do Anexo III estrito (foco humano), mas adotamos controles equivalentes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Publicar declaração formal de 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oversight (Art. 14)</w:t>
            </w:r>
          </w:p>
        </w:tc>
        <w:tc>
          <w:tcPr/>
          <w:p>
            <w:pPr>
              <w:pStyle w:val="Compact"/>
            </w:pPr>
            <w:r>
              <w:t xml:space="preserve">VetRecommendationPanel: aceitar/modificar/rejeitar; curadoria humana antes de KG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Logar override com justificativa textual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documentation (Annex IV)</w:t>
            </w:r>
          </w:p>
        </w:tc>
        <w:tc>
          <w:tcPr/>
          <w:p>
            <w:pPr>
              <w:pStyle w:val="Compact"/>
            </w:pPr>
            <w:r>
              <w:t xml:space="preserve">ARCHITECTURE.md, CURRENT_STATE.md, STANFORD_DEMO.md, este auto-audit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Consolidar em dossiê único exportável (PDF)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&amp; traceability (Art. 12)</w:t>
            </w:r>
          </w:p>
        </w:tc>
        <w:tc>
          <w:tcPr/>
          <w:p>
            <w:pPr>
              <w:pStyle w:val="Compact"/>
            </w:pPr>
            <w:r>
              <w:t xml:space="preserve">study_audit_logs append-only, KG provenance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Retenção 24 meses formalizada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Accuracy, robustness, cybersecurity (Art. 15)</w:t>
            </w:r>
          </w:p>
        </w:tc>
        <w:tc>
          <w:tcPr/>
          <w:p>
            <w:pPr>
              <w:pStyle w:val="Compact"/>
            </w:pPr>
            <w:r>
              <w:t xml:space="preserve">RLS exaustivo, secrets, validation triggers, has_role()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Pen-test anual + SAST/DAST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governance (Art. 10)</w:t>
            </w:r>
          </w:p>
        </w:tc>
        <w:tc>
          <w:tcPr/>
          <w:p>
            <w:pPr>
              <w:pStyle w:val="Compact"/>
            </w:pPr>
            <w:r>
              <w:t xml:space="preserve">Base knowledge governance manual, soft-delete, two-tier confidence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Documento formal de origem/consentimento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 (Art. 13)</w:t>
            </w:r>
          </w:p>
        </w:tc>
        <w:tc>
          <w:tcPr/>
          <w:p>
            <w:pPr>
              <w:pStyle w:val="Compact"/>
            </w:pPr>
            <w:r>
              <w:t xml:space="preserve">Painéis de log e badges de origem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Notification card resumindo decisão automatizada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management (Art. 9)</w:t>
            </w:r>
          </w:p>
        </w:tc>
        <w:tc>
          <w:tcPr/>
          <w:p>
            <w:pPr>
              <w:pStyle w:val="Compact"/>
            </w:pPr>
            <w:r>
              <w:t xml:space="preserve">Matriz de risco implícita; falta documento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Escrever ISO 14971-aligned risk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management system (Art. 17)</w:t>
            </w:r>
          </w:p>
        </w:tc>
        <w:tc>
          <w:tcPr/>
          <w:p>
            <w:pPr>
              <w:pStyle w:val="Compact"/>
            </w:pPr>
            <w:r>
              <w:t xml:space="preserve">CHANGELOG, processos de release informais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Formalizar QMS documento (alinhado ISO 13485 espírito)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Conformity assessment</w:t>
            </w:r>
          </w:p>
        </w:tc>
        <w:tc>
          <w:tcPr/>
          <w:p>
            <w:pPr>
              <w:pStyle w:val="Compact"/>
            </w:pPr>
            <w:r>
              <w:t xml:space="preserve">Não aplicável (veterinário) — mas adotamos como padrão interno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Self-declaration roadmap</w:t>
            </w:r>
          </w:p>
        </w:tc>
      </w:tr>
    </w:tbl>
    <w:p>
      <w:pPr>
        <w:pStyle w:val="BodyText"/>
      </w:pPr>
      <w:r>
        <w:t xml:space="preserve">Reflection Paper EMA enfatiza ainda: data quality (atendido por curadoria), transparência sobre incertezas (atendido por banda de confiança e EvidenceGapLogPanel), e human-in-the-loop (atendido).</w:t>
      </w:r>
    </w:p>
    <w:p>
      <w:pPr>
        <w:pStyle w:val="BodyText"/>
      </w:pPr>
      <w:r>
        <w:rPr>
          <w:b/>
          <w:bCs/>
        </w:rPr>
        <w:t xml:space="preserve">20. Conformidade AVMA / AAVSB</w:t>
      </w:r>
    </w:p>
    <w:p>
      <w:pPr>
        <w:pStyle w:val="BodyText"/>
      </w:pPr>
      <w:r>
        <w:t xml:space="preserve">AVMA Framework nov/2025</w:t>
      </w:r>
      <w:r>
        <w:rPr>
          <w:rStyle w:val="FootnoteReference"/>
        </w:rPr>
        <w:footnoteReference w:id="44"/>
      </w:r>
      <w:r>
        <w:t xml:space="preserve"> </w:t>
      </w:r>
      <w:r>
        <w:t xml:space="preserve">+ AAVSB Model Practice Act 2025</w:t>
      </w:r>
      <w:r>
        <w:rPr>
          <w:rStyle w:val="FootnoteReference"/>
        </w:rPr>
        <w:footnoteReference w:id="45"/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1"/>
        <w:gridCol w:w="2961"/>
        <w:gridCol w:w="1100"/>
        <w:gridCol w:w="19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Veterinarian-in-the-loop</w:t>
            </w:r>
          </w:p>
        </w:tc>
        <w:tc>
          <w:tcPr/>
          <w:p>
            <w:pPr>
              <w:pStyle w:val="Compact"/>
            </w:pPr>
            <w:r>
              <w:t xml:space="preserve">Pipeline de curadoria 7-estágios; gatekeeper exceto auto-approve ≥0.50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Threshold configurável por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Species-specific validation</w:t>
            </w:r>
          </w:p>
        </w:tc>
        <w:tc>
          <w:tcPr/>
          <w:p>
            <w:pPr>
              <w:pStyle w:val="Compact"/>
            </w:pPr>
            <w:r>
              <w:t xml:space="preserve">Foco canino documentado; sem bloqueio técnico de extrapolação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Marcar species=canine em todo triplet + bloqueio em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Off-label disclosure</w:t>
            </w:r>
          </w:p>
        </w:tc>
        <w:tc>
          <w:tcPr/>
          <w:p>
            <w:pPr>
              <w:pStyle w:val="Compact"/>
            </w:pPr>
            <w:r>
              <w:t xml:space="preserve">DrugLookupBadge sinaliza uso humano/extra-label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Consent screen para tutor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Continuing education for users</w:t>
            </w:r>
          </w:p>
        </w:tc>
        <w:tc>
          <w:tcPr/>
          <w:p>
            <w:pPr>
              <w:pStyle w:val="Compact"/>
            </w:pPr>
            <w:r>
              <w:t xml:space="preserve">Inexistente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Onboarding + biblioteca de evidência por compound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Transparência sobre limitações</w:t>
            </w:r>
          </w:p>
        </w:tc>
        <w:tc>
          <w:tcPr/>
          <w:p>
            <w:pPr>
              <w:pStyle w:val="Compact"/>
            </w:pPr>
            <w:r>
              <w:t xml:space="preserve">Insight cards, badges, EvidenceGapLogPanel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Disclaimer permanente no rodapé das recomendações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Evidence-based recommendations</w:t>
            </w:r>
          </w:p>
        </w:tc>
        <w:tc>
          <w:tcPr/>
          <w:p>
            <w:pPr>
              <w:pStyle w:val="Compact"/>
            </w:pPr>
            <w:r>
              <w:t xml:space="preserve">Score de confiança, evidence_level visível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Manter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safety guardrails</w:t>
            </w:r>
          </w:p>
        </w:tc>
        <w:tc>
          <w:tcPr/>
          <w:p>
            <w:pPr>
              <w:pStyle w:val="Compact"/>
            </w:pPr>
            <w:r>
              <w:t xml:space="preserve">Contraindications-scoring bloqueia compostos perigosos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Adicionar dose-checking automático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privacy (pet owner)</w:t>
            </w:r>
          </w:p>
        </w:tc>
        <w:tc>
          <w:tcPr/>
          <w:p>
            <w:pPr>
              <w:pStyle w:val="Compact"/>
            </w:pPr>
            <w:r>
              <w:t xml:space="preserve">RLS por owner; demo data flag is_demo separa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DPIA documento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21. GMLP — análise por princípio</w:t>
      </w:r>
    </w:p>
    <w:p>
      <w:pPr>
        <w:pStyle w:val="BodyText"/>
      </w:pPr>
      <w:r>
        <w:t xml:space="preserve">Cada um dos 10 princípios de Good Machine Learning Practice (FDA/HC/MHRA, 2021, referenciados pelo PCCP guidance 2025) é endereçado abaixo com o componente do nosso sistema que o operacionaliza:</w:t>
      </w:r>
    </w:p>
    <w:p>
      <w:pPr>
        <w:pStyle w:val="BodyText"/>
      </w:pPr>
      <w:r>
        <w:rPr>
          <w:b/>
          <w:bCs/>
        </w:rPr>
        <w:t xml:space="preserve">P1 — Multi-disciplinary expertise</w:t>
      </w:r>
    </w:p>
    <w:p>
      <w:pPr>
        <w:pStyle w:val="BodyText"/>
      </w:pPr>
      <w:r>
        <w:t xml:space="preserve">Equipe combina veterinária clínica, engenharia de ML, engenharia de dados e UX. Decisões de produto passam por todos os perfis (memória 'communication-guidelines').</w:t>
      </w:r>
    </w:p>
    <w:p>
      <w:pPr>
        <w:pStyle w:val="BodyText"/>
      </w:pPr>
      <w:r>
        <w:rPr>
          <w:b/>
          <w:bCs/>
        </w:rPr>
        <w:t xml:space="preserve">P2 — Good software engineering</w:t>
      </w:r>
    </w:p>
    <w:p>
      <w:pPr>
        <w:pStyle w:val="BodyText"/>
      </w:pPr>
      <w:r>
        <w:t xml:space="preserve">Código TypeScript estrito; convenções enforcadas por ESLint; testes em vitest; migrations Postgres versionadas; revisões de código em todo merge.</w:t>
      </w:r>
    </w:p>
    <w:p>
      <w:pPr>
        <w:pStyle w:val="BodyText"/>
      </w:pPr>
      <w:r>
        <w:rPr>
          <w:b/>
          <w:bCs/>
        </w:rPr>
        <w:t xml:space="preserve">P3 — Representativeness of clinical data</w:t>
      </w:r>
    </w:p>
    <w:p>
      <w:pPr>
        <w:pStyle w:val="BodyText"/>
      </w:pPr>
      <w:r>
        <w:t xml:space="preserve">Foco canino declarado; raças e portes diversos representados em sample data; gap reconhecido para felino/equino (P0).</w:t>
      </w:r>
    </w:p>
    <w:p>
      <w:pPr>
        <w:pStyle w:val="BodyText"/>
      </w:pPr>
      <w:r>
        <w:rPr>
          <w:b/>
          <w:bCs/>
        </w:rPr>
        <w:t xml:space="preserve">P4 — Training/test independence</w:t>
      </w:r>
    </w:p>
    <w:p>
      <w:pPr>
        <w:pStyle w:val="BodyText"/>
      </w:pPr>
      <w:r>
        <w:t xml:space="preserve">Modelos LLM são externos (não treinamos); avaliação Stage 2 funciona como gate qualitativo; falta holdout formal para evaluation contínua (gap P1).</w:t>
      </w:r>
    </w:p>
    <w:p>
      <w:pPr>
        <w:pStyle w:val="BodyText"/>
      </w:pPr>
      <w:r>
        <w:rPr>
          <w:b/>
          <w:bCs/>
        </w:rPr>
        <w:t xml:space="preserve">P5 — Reference standard</w:t>
      </w:r>
    </w:p>
    <w:p>
      <w:pPr>
        <w:pStyle w:val="BodyText"/>
      </w:pPr>
      <w:r>
        <w:t xml:space="preserve">SNOMED-CT VetSCT e UMLS como ground truth de canonicalização; mappings versionados em taxonomy_dictionaries.</w:t>
      </w:r>
    </w:p>
    <w:p>
      <w:pPr>
        <w:pStyle w:val="BodyText"/>
      </w:pPr>
      <w:r>
        <w:rPr>
          <w:b/>
          <w:bCs/>
        </w:rPr>
        <w:t xml:space="preserve">P6 — Model design tailored to data</w:t>
      </w:r>
    </w:p>
    <w:p>
      <w:pPr>
        <w:pStyle w:val="BodyText"/>
      </w:pPr>
      <w:r>
        <w:t xml:space="preserve">Roteamento por tarefa: Gemini Flash para amplitude, Pro para precisão, GPT-5 para reasoning de polifarmácia, embeddings dedicados para retrieval.</w:t>
      </w:r>
    </w:p>
    <w:p>
      <w:pPr>
        <w:pStyle w:val="BodyText"/>
      </w:pPr>
      <w:r>
        <w:rPr>
          <w:b/>
          <w:bCs/>
        </w:rPr>
        <w:t xml:space="preserve">P7 — Human-AI team performance</w:t>
      </w:r>
    </w:p>
    <w:p>
      <w:pPr>
        <w:pStyle w:val="BodyText"/>
      </w:pPr>
      <w:r>
        <w:t xml:space="preserve">Vet decide; LLM sugere. Logs preservam decisão e diff. Métrica formal de agreement está prevista (P1).</w:t>
      </w:r>
    </w:p>
    <w:p>
      <w:pPr>
        <w:pStyle w:val="BodyText"/>
      </w:pPr>
      <w:r>
        <w:rPr>
          <w:b/>
          <w:bCs/>
        </w:rPr>
        <w:t xml:space="preserve">P8 — Testing demonstrates performance under conditions of use</w:t>
      </w:r>
    </w:p>
    <w:p>
      <w:pPr>
        <w:pStyle w:val="BodyText"/>
      </w:pPr>
      <w:r>
        <w:t xml:space="preserve">Métricas operacionais §28; falta clinical performance longitudinal (gap P0 — RWPM).</w:t>
      </w:r>
    </w:p>
    <w:p>
      <w:pPr>
        <w:pStyle w:val="BodyText"/>
      </w:pPr>
      <w:r>
        <w:rPr>
          <w:b/>
          <w:bCs/>
        </w:rPr>
        <w:t xml:space="preserve">P9 — Users provided clear, essential information</w:t>
      </w:r>
    </w:p>
    <w:p>
      <w:pPr>
        <w:pStyle w:val="BodyText"/>
      </w:pPr>
      <w:r>
        <w:t xml:space="preserve">Insight cards categorizados, badges de origem, banda de confiança, disclaimers off-label. Próximo passo: model cards por feature.</w:t>
      </w:r>
    </w:p>
    <w:p>
      <w:pPr>
        <w:pStyle w:val="BodyText"/>
      </w:pPr>
      <w:r>
        <w:rPr>
          <w:b/>
          <w:bCs/>
        </w:rPr>
        <w:t xml:space="preserve">P10 — Monitor &amp; retrain deployed models</w:t>
      </w:r>
    </w:p>
    <w:p>
      <w:pPr>
        <w:pStyle w:val="BodyText"/>
      </w:pPr>
      <w:r>
        <w:t xml:space="preserve">Modelos LLM são geridos pelos provedores; nosso pipeline (prompts, dicionários, ontologia) é monitorado por logs e CHANGELOG. Falta cohort outcome tracking (gap P0).</w:t>
      </w:r>
    </w:p>
    <w:p>
      <w:pPr>
        <w:pStyle w:val="BodyText"/>
      </w:pPr>
      <w:r>
        <w:rPr>
          <w:b/>
          <w:bCs/>
        </w:rPr>
        <w:t xml:space="preserve">22. Pontos fortes</w:t>
      </w:r>
    </w:p>
    <w:p>
      <w:pPr>
        <w:pStyle w:val="BodyText"/>
      </w:pPr>
      <w:r>
        <w:rPr>
          <w:b/>
          <w:bCs/>
        </w:rPr>
        <w:t xml:space="preserve">23. Pontos fracos, gaps e riscos</w:t>
      </w:r>
    </w:p>
    <w:p>
      <w:pPr>
        <w:pStyle w:val="BodyText"/>
      </w:pPr>
      <w:r>
        <w:rPr>
          <w:b/>
          <w:bCs/>
        </w:rPr>
        <w:t xml:space="preserve">23.1 Gaps técnicos</w:t>
      </w:r>
    </w:p>
    <w:p>
      <w:pPr>
        <w:pStyle w:val="BodyText"/>
      </w:pPr>
      <w:r>
        <w:rPr>
          <w:b/>
          <w:bCs/>
        </w:rPr>
        <w:t xml:space="preserve">23.2 Gaps de produto e UX</w:t>
      </w:r>
    </w:p>
    <w:p>
      <w:pPr>
        <w:pStyle w:val="BodyText"/>
      </w:pPr>
      <w:r>
        <w:rPr>
          <w:b/>
          <w:bCs/>
        </w:rPr>
        <w:t xml:space="preserve">23.3 Gaps regulatórios</w:t>
      </w:r>
    </w:p>
    <w:p>
      <w:pPr>
        <w:pStyle w:val="BodyText"/>
      </w:pPr>
      <w:r>
        <w:rPr>
          <w:b/>
          <w:bCs/>
        </w:rPr>
        <w:t xml:space="preserve">23.4 Riscos residuais</w:t>
      </w:r>
    </w:p>
    <w:p>
      <w:pPr>
        <w:pStyle w:val="BodyText"/>
      </w:pPr>
      <w:r>
        <w:rPr>
          <w:b/>
          <w:bCs/>
        </w:rPr>
        <w:t xml:space="preserve">24. Roadmap P0–P3 detalhado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7"/>
        <w:gridCol w:w="2707"/>
        <w:gridCol w:w="1438"/>
        <w:gridCol w:w="1100"/>
        <w:gridCol w:w="676"/>
        <w:gridCol w:w="14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Esforço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outcome_observations + RWPM dashboard</w:t>
            </w:r>
          </w:p>
        </w:tc>
        <w:tc>
          <w:tcPr/>
          <w:p>
            <w:pPr>
              <w:pStyle w:val="Compact"/>
            </w:pPr>
            <w:r>
              <w:t xml:space="preserve">Técnico/Reg.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2026-Q3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População manual L1 (Molecular Targets) via UMLS</w:t>
            </w:r>
          </w:p>
        </w:tc>
        <w:tc>
          <w:tcPr/>
          <w:p>
            <w:pPr>
              <w:pStyle w:val="Compact"/>
            </w:pPr>
            <w:r>
              <w:t xml:space="preserve">Dados/Ontologia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2026-Q3/Q4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Guardrail técnico species=canine em queries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2026-Q3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Watcher de retractions PubMed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2026-Q3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Risk management file ISO 14971-aligned</w:t>
            </w:r>
          </w:p>
        </w:tc>
        <w:tc>
          <w:tcPr/>
          <w:p>
            <w:pPr>
              <w:pStyle w:val="Compact"/>
            </w:pPr>
            <w:r>
              <w:t xml:space="preserve">Regulatório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2026-Q3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Holdout formal de evaluation contínua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2026-Q4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Continuing Education embutido (AVMA §6)</w:t>
            </w:r>
          </w:p>
        </w:tc>
        <w:tc>
          <w:tcPr/>
          <w:p>
            <w:pPr>
              <w:pStyle w:val="Compact"/>
            </w:pPr>
            <w:r>
              <w:t xml:space="preserve">Produto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2026-Q4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Análise de bias por raça/porte trimestral</w:t>
            </w:r>
          </w:p>
        </w:tc>
        <w:tc>
          <w:tcPr/>
          <w:p>
            <w:pPr>
              <w:pStyle w:val="Compact"/>
            </w:pPr>
            <w:r>
              <w:t xml:space="preserve">ML/Reg.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2026-Q4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QMS formal (espírito ISO 13485)</w:t>
            </w:r>
          </w:p>
        </w:tc>
        <w:tc>
          <w:tcPr/>
          <w:p>
            <w:pPr>
              <w:pStyle w:val="Compact"/>
            </w:pPr>
            <w:r>
              <w:t xml:space="preserve">Regulatório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2027-Q1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Bulk shortcuts + agrupamento por par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2026-Q3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Community summaries no KG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2027-Q1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PCCP formalizado em documento assinado</w:t>
            </w:r>
          </w:p>
        </w:tc>
        <w:tc>
          <w:tcPr/>
          <w:p>
            <w:pPr>
              <w:pStyle w:val="Compact"/>
            </w:pPr>
            <w:r>
              <w:t xml:space="preserve">Regulatório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2026-Q4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Re-vetorização incremental automatizada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2027-Q1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Dashboard pessoal de produtividade do revisor</w:t>
            </w:r>
          </w:p>
        </w:tc>
        <w:tc>
          <w:tcPr/>
          <w:p>
            <w:pPr>
              <w:pStyle w:val="Compact"/>
            </w:pPr>
            <w:r>
              <w:t xml:space="preserve">Produto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2027-Q1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Retenção study_audit_logs 24 meses formalizada</w:t>
            </w:r>
          </w:p>
        </w:tc>
        <w:tc>
          <w:tcPr/>
          <w:p>
            <w:pPr>
              <w:pStyle w:val="Compact"/>
            </w:pPr>
            <w:r>
              <w:t xml:space="preserve">Regulatório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2026-Q3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Model cards por feature</w:t>
            </w:r>
          </w:p>
        </w:tc>
        <w:tc>
          <w:tcPr/>
          <w:p>
            <w:pPr>
              <w:pStyle w:val="Compact"/>
            </w:pPr>
            <w:r>
              <w:t xml:space="preserve">Regulatório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2026-Q4</w:t>
            </w:r>
          </w:p>
        </w:tc>
      </w:tr>
    </w:tbl>
    <w:p>
      <w:pPr>
        <w:pStyle w:val="BodyText"/>
      </w:pPr>
      <w:r>
        <w:t xml:space="preserve">Pipeline tem capacidade para 3 P0 + 4 P1 + 5 P2 simultâneos por trimestre dado o backlog atual.</w:t>
      </w:r>
    </w:p>
    <w:p>
      <w:pPr>
        <w:pStyle w:val="BodyText"/>
      </w:pPr>
      <w:r>
        <w:rPr>
          <w:b/>
          <w:bCs/>
        </w:rPr>
        <w:t xml:space="preserve">25. Apêndice A — Schema SQL principal (resumo)</w:t>
      </w:r>
    </w:p>
    <w:p>
      <w:pPr>
        <w:pStyle w:val="BodyText"/>
      </w:pPr>
      <w:r>
        <w:t xml:space="preserve">Reproduzimos as DDLs essenciais (omitindo índices secundários, tipos auxiliares e RLS extensa para concisão; consulte supabase/migrations/ para o canon).</w:t>
      </w:r>
    </w:p>
    <w:p>
      <w:pPr>
        <w:pStyle w:val="BodyText"/>
      </w:pPr>
      <w:r>
        <w:t xml:space="preserve">-- Roles em tabela separada (anti-recursão RLS):</w:t>
      </w:r>
    </w:p>
    <w:p>
      <w:pPr>
        <w:pStyle w:val="BodyText"/>
      </w:pPr>
      <w:r>
        <w:t xml:space="preserve">CREATE TYPE app_role AS ENUM ('admin','vet','owner','curator');</w:t>
      </w:r>
    </w:p>
    <w:p>
      <w:pPr>
        <w:pStyle w:val="BodyText"/>
      </w:pPr>
      <w:r>
        <w:t xml:space="preserve">CREATE TABLE user_roles (id uuid PRIMARY KEY DEFAULT gen_random_uuid(), user_id uuid REFERENCES auth.users(id) ON DELETE CASCADE, role app_role NOT NULL, UNIQUE(user_id, role));</w:t>
      </w:r>
    </w:p>
    <w:p>
      <w:pPr>
        <w:pStyle w:val="BodyText"/>
      </w:pPr>
      <w:r>
        <w:t xml:space="preserve">CREATE OR REPLACE FUNCTION has_role(_user_id uuid, _role app_role) RETURNS boolean LANGUAGE sql STABLE SECURITY DEFINER SET search_path=public AS $$ SELECT EXISTS(SELECT 1 FROM user_roles WHERE user_id=_user_id AND role=_role) $$;</w:t>
      </w:r>
    </w:p>
    <w:p>
      <w:pPr>
        <w:pStyle w:val="BodyText"/>
      </w:pPr>
      <w:r>
        <w:t xml:space="preserve">-- Estudos e digestão:</w:t>
      </w:r>
    </w:p>
    <w:p>
      <w:pPr>
        <w:pStyle w:val="BodyText"/>
      </w:pPr>
      <w:r>
        <w:t xml:space="preserve">CREATE TABLE studies (id uuid PRIMARY KEY DEFAULT gen_random_uuid(), title text NOT NULL, doi text, pmid text, year int, study_type text, sha256 text UNIQUE, ingested_at timestamptz DEFAULT now());</w:t>
      </w:r>
    </w:p>
    <w:p>
      <w:pPr>
        <w:pStyle w:val="BodyText"/>
      </w:pPr>
      <w:r>
        <w:t xml:space="preserve">CREATE TABLE study_embeddings (id uuid PRIMARY KEY DEFAULT gen_random_uuid(), study_id uuid REFERENCES studies(id) ON DELETE CASCADE, chunk_index int, section text, content text, embedding vector(768));</w:t>
      </w:r>
    </w:p>
    <w:p>
      <w:pPr>
        <w:pStyle w:val="BodyText"/>
      </w:pPr>
      <w:r>
        <w:t xml:space="preserve">CREATE INDEX ON study_embeddings USING ivfflat (embedding vector_cosine_ops) WITH (lists = 100);</w:t>
      </w:r>
    </w:p>
    <w:p>
      <w:pPr>
        <w:pStyle w:val="BodyText"/>
      </w:pPr>
      <w:r>
        <w:t xml:space="preserve">-- Triplets e KG:</w:t>
      </w:r>
    </w:p>
    <w:p>
      <w:pPr>
        <w:pStyle w:val="BodyText"/>
      </w:pPr>
      <w:r>
        <w:t xml:space="preserve">CREATE TABLE triplet_extractions (id uuid PRIMARY KEY DEFAULT gen_random_uuid(), study_id uuid REFERENCES studies(id), subject text, predicate text, object text, evidence_level int, intensity numeric, confidence_score numeric, status text DEFAULT 'pending', source_excerpt text, page_offset int);</w:t>
      </w:r>
    </w:p>
    <w:p>
      <w:pPr>
        <w:pStyle w:val="BodyText"/>
      </w:pPr>
      <w:r>
        <w:t xml:space="preserve">CREATE TABLE medical_knowledge_graph (id uuid PRIMARY KEY DEFAULT gen_random_uuid(), subject_id uuid, predicate text, object_id uuid, evidence_level int, intensity numeric, confidence numeric, species text, source_study_id uuid REFERENCES studies(id), is_canonical boolean DEFAULT false);</w:t>
      </w:r>
    </w:p>
    <w:p>
      <w:pPr>
        <w:pStyle w:val="BodyText"/>
      </w:pPr>
      <w:r>
        <w:t xml:space="preserve">CREATE TABLE hierarchical_edges (id uuid PRIMARY KEY DEFAULT gen_random_uuid(), from_node uuid, to_node uuid, layer_from text, layer_to text, predicate text, evidence_level int, intensity numeric);</w:t>
      </w:r>
    </w:p>
    <w:p>
      <w:pPr>
        <w:pStyle w:val="BodyText"/>
      </w:pPr>
      <w:r>
        <w:t xml:space="preserve">-- Auditoria:</w:t>
      </w:r>
    </w:p>
    <w:p>
      <w:pPr>
        <w:pStyle w:val="BodyText"/>
      </w:pPr>
      <w:r>
        <w:t xml:space="preserve">CREATE TABLE study_audit_logs (id uuid PRIMARY KEY DEFAULT gen_random_uuid(), actor_id uuid, action text, payload jsonb, created_at timestamptz DEFAULT now());</w:t>
      </w:r>
    </w:p>
    <w:p>
      <w:pPr>
        <w:pStyle w:val="BodyText"/>
      </w:pPr>
      <w:r>
        <w:t xml:space="preserve">ALTER TABLE study_audit_logs ENABLE ROW LEVEL SECURITY;</w:t>
      </w:r>
    </w:p>
    <w:p>
      <w:pPr>
        <w:pStyle w:val="BodyText"/>
      </w:pPr>
      <w:r>
        <w:t xml:space="preserve">CREATE POLICY "audit_select_admin_or_self" ON study_audit_logs FOR SELECT TO authenticated USING (has_role(auth.uid(),'admin') OR actor_id = auth.uid());</w:t>
      </w:r>
    </w:p>
    <w:p>
      <w:pPr>
        <w:pStyle w:val="BodyText"/>
      </w:pPr>
      <w:r>
        <w:t xml:space="preserve">CREATE POLICY "audit_no_update" ON study_audit_logs FOR UPDATE USING (false);</w:t>
      </w:r>
    </w:p>
    <w:p>
      <w:pPr>
        <w:pStyle w:val="BodyText"/>
      </w:pPr>
      <w:r>
        <w:t xml:space="preserve">CREATE POLICY "audit_no_delete" ON study_audit_logs FOR DELETE USING (false);</w:t>
      </w:r>
    </w:p>
    <w:p>
      <w:pPr>
        <w:pStyle w:val="BodyText"/>
      </w:pPr>
      <w:r>
        <w:rPr>
          <w:b/>
          <w:bCs/>
        </w:rPr>
        <w:t xml:space="preserve">26. Apêndice B — Inventário de Edge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8"/>
        <w:gridCol w:w="1861"/>
        <w:gridCol w:w="2538"/>
        <w:gridCol w:w="98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principal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parse-study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Extração de metadados do PDF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vectorize-study</w:t>
            </w:r>
          </w:p>
        </w:tc>
        <w:tc>
          <w:tcPr/>
          <w:p>
            <w:pPr>
              <w:pStyle w:val="Compact"/>
            </w:pPr>
            <w:r>
              <w:t xml:space="preserve">text-embedding-004</w:t>
            </w:r>
          </w:p>
        </w:tc>
        <w:tc>
          <w:tcPr/>
          <w:p>
            <w:pPr>
              <w:pStyle w:val="Compact"/>
            </w:pPr>
            <w:r>
              <w:t xml:space="preserve">Chunking + embeddings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process-study</w:t>
            </w:r>
          </w:p>
        </w:tc>
        <w:tc>
          <w:tcPr/>
          <w:p>
            <w:pPr>
              <w:pStyle w:val="Compact"/>
            </w:pPr>
            <w:r>
              <w:t xml:space="preserve">Gemini Flash + Pro + GPT-5 Mini</w:t>
            </w:r>
          </w:p>
        </w:tc>
        <w:tc>
          <w:tcPr/>
          <w:p>
            <w:pPr>
              <w:pStyle w:val="Compact"/>
            </w:pPr>
            <w:r>
              <w:t xml:space="preserve">Pipeline 3-stage de extração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enrich-triplet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Sinônimos, layer reclassification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hybrid-recommendation</w:t>
            </w:r>
          </w:p>
        </w:tc>
        <w:tc>
          <w:tcPr/>
          <w:p>
            <w:pPr>
              <w:pStyle w:val="Compact"/>
            </w:pPr>
            <w:r>
              <w:t xml:space="preserve">Regras + GPT-5 cond.</w:t>
            </w:r>
          </w:p>
        </w:tc>
        <w:tc>
          <w:tcPr/>
          <w:p>
            <w:pPr>
              <w:pStyle w:val="Compact"/>
            </w:pPr>
            <w:r>
              <w:t xml:space="preserve">Recomendação clínica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condition-insights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Insight cards categorizados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relations-auditor</w:t>
            </w:r>
          </w:p>
        </w:tc>
        <w:tc>
          <w:tcPr/>
          <w:p>
            <w:pPr>
              <w:pStyle w:val="Compact"/>
            </w:pPr>
            <w:r>
              <w:t xml:space="preserve">Gemini 2.5 Pro / GPT-5</w:t>
            </w:r>
          </w:p>
        </w:tc>
        <w:tc>
          <w:tcPr/>
          <w:p>
            <w:pPr>
              <w:pStyle w:val="Compact"/>
            </w:pPr>
            <w:r>
              <w:t xml:space="preserve">Auditoria conversacional do KG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translate-and-categorize-conditions</w:t>
            </w:r>
          </w:p>
        </w:tc>
        <w:tc>
          <w:tcPr/>
          <w:p>
            <w:pPr>
              <w:pStyle w:val="Compact"/>
            </w:pPr>
            <w:r>
              <w:t xml:space="preserve">Flash-Lite</w:t>
            </w:r>
          </w:p>
        </w:tc>
        <w:tc>
          <w:tcPr/>
          <w:p>
            <w:pPr>
              <w:pStyle w:val="Compact"/>
            </w:pPr>
            <w:r>
              <w:t xml:space="preserve">Tradução + categorização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extract-pet-clinical-data</w:t>
            </w:r>
          </w:p>
        </w:tc>
        <w:tc>
          <w:tcPr/>
          <w:p>
            <w:pPr>
              <w:pStyle w:val="Compact"/>
            </w:pPr>
            <w:r>
              <w:t xml:space="preserve">GPT-5 Mini</w:t>
            </w:r>
          </w:p>
        </w:tc>
        <w:tc>
          <w:tcPr/>
          <w:p>
            <w:pPr>
              <w:pStyle w:val="Compact"/>
            </w:pPr>
            <w:r>
              <w:t xml:space="preserve">Extração de texto livre clínico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kg-missing-triplets</w:t>
            </w:r>
          </w:p>
        </w:tc>
        <w:tc>
          <w:tcPr/>
          <w:p>
            <w:pPr>
              <w:pStyle w:val="Compact"/>
            </w:pPr>
            <w:r>
              <w:t xml:space="preserve">Gemini Flash</w:t>
            </w:r>
          </w:p>
        </w:tc>
        <w:tc>
          <w:tcPr/>
          <w:p>
            <w:pPr>
              <w:pStyle w:val="Compact"/>
            </w:pPr>
            <w:r>
              <w:t xml:space="preserve">Detecta lacunas de evidência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web-dosage-lookup</w:t>
            </w:r>
          </w:p>
        </w:tc>
        <w:tc>
          <w:tcPr/>
          <w:p>
            <w:pPr>
              <w:pStyle w:val="Compact"/>
            </w:pPr>
            <w:r>
              <w:t xml:space="preserve">Gemini Flash-Lite</w:t>
            </w:r>
          </w:p>
        </w:tc>
        <w:tc>
          <w:tcPr/>
          <w:p>
            <w:pPr>
              <w:pStyle w:val="Compact"/>
            </w:pPr>
            <w:r>
              <w:t xml:space="preserve">Busca de dose e off-label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calculate-recommendation-confidence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Score determinístico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sync-study-to-neo4j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Sync KG canônico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neo4j-sync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Sync incremental KG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consolidate-knowledge-graph</w:t>
            </w:r>
          </w:p>
        </w:tc>
        <w:tc>
          <w:tcPr/>
          <w:p>
            <w:pPr>
              <w:pStyle w:val="Compact"/>
            </w:pPr>
            <w:r>
              <w:t xml:space="preserve">Gemini Pro</w:t>
            </w:r>
          </w:p>
        </w:tc>
        <w:tc>
          <w:tcPr/>
          <w:p>
            <w:pPr>
              <w:pStyle w:val="Compact"/>
            </w:pPr>
            <w:r>
              <w:t xml:space="preserve">Consolidação periódica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enrich-knowledge-graph</w:t>
            </w:r>
          </w:p>
        </w:tc>
        <w:tc>
          <w:tcPr/>
          <w:p>
            <w:pPr>
              <w:pStyle w:val="Compact"/>
            </w:pPr>
            <w:r>
              <w:t xml:space="preserve">Gemini Pro</w:t>
            </w:r>
          </w:p>
        </w:tc>
        <w:tc>
          <w:tcPr/>
          <w:p>
            <w:pPr>
              <w:pStyle w:val="Compact"/>
            </w:pPr>
            <w:r>
              <w:t xml:space="preserve">Enrichment retroativo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graph-rag-search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Retrieval híbrido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fetch-external-ontologies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Busca SNOMED/UMLS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suggest-taxonomy-terms</w:t>
            </w:r>
          </w:p>
        </w:tc>
        <w:tc>
          <w:tcPr/>
          <w:p>
            <w:pPr>
              <w:pStyle w:val="Compact"/>
            </w:pPr>
            <w:r>
              <w:t xml:space="preserve">Flash</w:t>
            </w:r>
          </w:p>
        </w:tc>
        <w:tc>
          <w:tcPr/>
          <w:p>
            <w:pPr>
              <w:pStyle w:val="Compact"/>
            </w:pPr>
            <w:r>
              <w:t xml:space="preserve">Sugestão de termos para taxonomia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download-study-pdf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Download robusto PMC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Gemini Flash</w:t>
            </w:r>
          </w:p>
        </w:tc>
        <w:tc>
          <w:tcPr/>
          <w:p>
            <w:pPr>
              <w:pStyle w:val="Compact"/>
            </w:pPr>
            <w:r>
              <w:t xml:space="preserve">Chat clínico contextual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ai-config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Provedor de configuração de modelos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api-usage-stats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Métricas de uso por modelo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provider-health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Healthcheck dos provedores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run-translation-audit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Auditoria PT/EN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translate-text</w:t>
            </w:r>
          </w:p>
        </w:tc>
        <w:tc>
          <w:tcPr/>
          <w:p>
            <w:pPr>
              <w:pStyle w:val="Compact"/>
            </w:pPr>
            <w:r>
              <w:t xml:space="preserve">Flash-Lite</w:t>
            </w:r>
          </w:p>
        </w:tc>
        <w:tc>
          <w:tcPr/>
          <w:p>
            <w:pPr>
              <w:pStyle w:val="Compact"/>
            </w:pPr>
            <w:r>
              <w:t xml:space="preserve">Tradução pontual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translate-conditions</w:t>
            </w:r>
          </w:p>
        </w:tc>
        <w:tc>
          <w:tcPr/>
          <w:p>
            <w:pPr>
              <w:pStyle w:val="Compact"/>
            </w:pPr>
            <w:r>
              <w:t xml:space="preserve">Flash-Lite</w:t>
            </w:r>
          </w:p>
        </w:tc>
        <w:tc>
          <w:tcPr/>
          <w:p>
            <w:pPr>
              <w:pStyle w:val="Compact"/>
            </w:pPr>
            <w:r>
              <w:t xml:space="preserve">Tradução em batch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batch-reprocess-triplets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Reprocessamento em lote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27. Apêndice C — Prompts e modelos LLM</w:t>
      </w:r>
    </w:p>
    <w:p>
      <w:pPr>
        <w:pStyle w:val="BodyText"/>
      </w:pPr>
      <w:r>
        <w:t xml:space="preserve">Os prompts de produção residem na tabela ai_prompts e são consumidos por cada edge function via cliente único. Cada registro persiste: id, function_key, version (semver), model_id (FK ai_models), system_message, user_template, temperature, max_tokens, checksum (SHA-256 do conjunto), created_by, created_at, is_active.</w:t>
      </w:r>
    </w:p>
    <w:p>
      <w:pPr>
        <w:pStyle w:val="BodyText"/>
      </w:pPr>
      <w:r>
        <w:rPr>
          <w:b/>
          <w:bCs/>
        </w:rPr>
        <w:t xml:space="preserve">27.1 Disciplina de evolução</w:t>
      </w:r>
    </w:p>
    <w:p>
      <w:pPr>
        <w:pStyle w:val="BodyText"/>
      </w:pPr>
      <w:r>
        <w:rPr>
          <w:b/>
          <w:bCs/>
        </w:rPr>
        <w:t xml:space="preserve">27.2 Exemplo abreviado — Stage 2 prompt (validação)</w:t>
      </w:r>
    </w:p>
    <w:p>
      <w:pPr>
        <w:pStyle w:val="BodyText"/>
      </w:pPr>
      <w:r>
        <w:t xml:space="preserve">"Você é um curador veterinário. Para cada candidato a triplet abaixo, verifique se o trecho-fonte fornecido sustenta literalmente a asserção (sujeito, predicado, objeto). Rejeite se a relação for inferida sem suporte direto. Para casos válidos, normalize o predicado contra o dicionário fornecido, faça clamping de intensity para [-1, +1], mapeie evidence_level pelo tipo de estudo (RCT=5, meta=5, cohort=4, observacional=3, animal_model=2, in_vitro=2, opinion=1). Saída em JSON estrito."</w:t>
      </w:r>
    </w:p>
    <w:p>
      <w:pPr>
        <w:pStyle w:val="BodyText"/>
      </w:pPr>
      <w:r>
        <w:rPr>
          <w:b/>
          <w:bCs/>
        </w:rPr>
        <w:t xml:space="preserve">27.3 Configuração padrão por tarefa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4"/>
        <w:gridCol w:w="1523"/>
        <w:gridCol w:w="1100"/>
        <w:gridCol w:w="1100"/>
        <w:gridCol w:w="19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tokens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Estrutura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parse-study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JSON schema fixo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process-study Stage 1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JSON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process-study Stage 2</w:t>
            </w:r>
          </w:p>
        </w:tc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JSON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process-study Stage 3</w:t>
            </w:r>
          </w:p>
        </w:tc>
        <w:tc>
          <w:tcPr/>
          <w:p>
            <w:pPr>
              <w:pStyle w:val="Compact"/>
            </w:pPr>
            <w:r>
              <w:t xml:space="preserve">GPT-5 Mini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JSON enriched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hybrid-recommendation</w:t>
            </w:r>
          </w:p>
        </w:tc>
        <w:tc>
          <w:tcPr/>
          <w:p>
            <w:pPr>
              <w:pStyle w:val="Compact"/>
            </w:pPr>
            <w:r>
              <w:t xml:space="preserve">GPT-5 (cond.)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JSON com justifications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clínico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28. Apêndice D — Métricas operacionais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7"/>
        <w:gridCol w:w="1607"/>
        <w:gridCol w:w="1269"/>
        <w:gridCol w:w="233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atual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Estudos digeridos</w:t>
            </w:r>
          </w:p>
        </w:tc>
        <w:tc>
          <w:tcPr/>
          <w:p>
            <w:pPr>
              <w:pStyle w:val="Compact"/>
            </w:pPr>
            <w:r>
              <w:t xml:space="preserve">~210</w:t>
            </w:r>
          </w:p>
        </w:tc>
        <w:tc>
          <w:tcPr/>
          <w:p>
            <w:pPr>
              <w:pStyle w:val="Compact"/>
            </w:pPr>
            <w:r>
              <w:t xml:space="preserve">cumulativo</w:t>
            </w:r>
          </w:p>
        </w:tc>
        <w:tc>
          <w:tcPr/>
          <w:p>
            <w:pPr>
              <w:pStyle w:val="Compact"/>
            </w:pPr>
            <w:r>
              <w:t xml:space="preserve">Todos canino, metabolic/degenerative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Triplets aprovados (KG)</w:t>
            </w:r>
          </w:p>
        </w:tc>
        <w:tc>
          <w:tcPr/>
          <w:p>
            <w:pPr>
              <w:pStyle w:val="Compact"/>
            </w:pPr>
            <w:r>
              <w:t xml:space="preserve">4.487</w:t>
            </w:r>
          </w:p>
        </w:tc>
        <w:tc>
          <w:tcPr/>
          <w:p>
            <w:pPr>
              <w:pStyle w:val="Compact"/>
            </w:pPr>
            <w:r>
              <w:t xml:space="preserve">cumulativo</w:t>
            </w:r>
          </w:p>
        </w:tc>
        <w:tc>
          <w:tcPr/>
          <w:p>
            <w:pPr>
              <w:pStyle w:val="Compact"/>
            </w:pPr>
            <w:r>
              <w:t xml:space="preserve">sync espelhado em Neo4j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Hierarchical edges</w:t>
            </w:r>
          </w:p>
        </w:tc>
        <w:tc>
          <w:tcPr/>
          <w:p>
            <w:pPr>
              <w:pStyle w:val="Compact"/>
            </w:pPr>
            <w:r>
              <w:t xml:space="preserve">36.772</w:t>
            </w:r>
          </w:p>
        </w:tc>
        <w:tc>
          <w:tcPr/>
          <w:p>
            <w:pPr>
              <w:pStyle w:val="Compact"/>
            </w:pPr>
            <w:r>
              <w:t xml:space="preserve">cumulativo</w:t>
            </w:r>
          </w:p>
        </w:tc>
        <w:tc>
          <w:tcPr/>
          <w:p>
            <w:pPr>
              <w:pStyle w:val="Compact"/>
            </w:pPr>
            <w:r>
              <w:t xml:space="preserve">Inclui derivadas L0→L4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 persistidos</w:t>
            </w:r>
          </w:p>
        </w:tc>
        <w:tc>
          <w:tcPr/>
          <w:p>
            <w:pPr>
              <w:pStyle w:val="Compact"/>
            </w:pPr>
            <w:r>
              <w:t xml:space="preserve">~620 chunks/estudo médio</w:t>
            </w:r>
          </w:p>
        </w:tc>
        <w:tc>
          <w:tcPr/>
          <w:p>
            <w:pPr>
              <w:pStyle w:val="Compact"/>
            </w:pPr>
            <w:r>
              <w:t xml:space="preserve">cumulativo</w:t>
            </w:r>
          </w:p>
        </w:tc>
        <w:tc>
          <w:tcPr/>
          <w:p>
            <w:pPr>
              <w:pStyle w:val="Compact"/>
            </w:pPr>
            <w:r>
              <w:t xml:space="preserve">text-embedding-004 (768d)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Auto-approve rate (≥0.50)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  <w:tc>
          <w:tcPr/>
          <w:p>
            <w:pPr>
              <w:pStyle w:val="Compact"/>
            </w:pPr>
            <w:r>
              <w:t xml:space="preserve">últimos 90 dias</w:t>
            </w:r>
          </w:p>
        </w:tc>
        <w:tc>
          <w:tcPr/>
          <w:p>
            <w:pPr>
              <w:pStyle w:val="Compact"/>
            </w:pPr>
            <w:r>
              <w:t xml:space="preserve">Threshold configurável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approval rate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últimos 90 dias</w:t>
            </w:r>
          </w:p>
        </w:tc>
        <w:tc>
          <w:tcPr/>
          <w:p>
            <w:pPr>
              <w:pStyle w:val="Compact"/>
            </w:pPr>
            <w:r>
              <w:t xml:space="preserve">Indica boa qualidade Stage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por estudo</w:t>
            </w:r>
          </w:p>
        </w:tc>
        <w:tc>
          <w:tcPr/>
          <w:p>
            <w:pPr>
              <w:pStyle w:val="Compact"/>
            </w:pPr>
            <w:r>
              <w:t xml:space="preserve">USD 0,42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Gemini 71% / GPT 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upload→KG</w:t>
            </w:r>
          </w:p>
        </w:tc>
        <w:tc>
          <w:tcPr/>
          <w:p>
            <w:pPr>
              <w:pStyle w:val="Compact"/>
            </w:pPr>
            <w:r>
              <w:t xml:space="preserve">47 min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Inclui revisão humana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Latência hybrid-recommendation</w:t>
            </w:r>
          </w:p>
        </w:tc>
        <w:tc>
          <w:tcPr/>
          <w:p>
            <w:pPr>
              <w:pStyle w:val="Compact"/>
            </w:pPr>
            <w:r>
              <w:t xml:space="preserve">p95 = 3,8 s</w:t>
            </w:r>
          </w:p>
        </w:tc>
        <w:tc>
          <w:tcPr/>
          <w:p>
            <w:pPr>
              <w:pStyle w:val="Compact"/>
            </w:pPr>
            <w:r>
              <w:t xml:space="preserve">últimos 30 dias</w:t>
            </w:r>
          </w:p>
        </w:tc>
        <w:tc>
          <w:tcPr/>
          <w:p>
            <w:pPr>
              <w:pStyle w:val="Compact"/>
            </w:pPr>
            <w:r>
              <w:t xml:space="preserve">Cache hit 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coverage</w:t>
            </w:r>
          </w:p>
        </w:tc>
        <w:tc>
          <w:tcPr/>
          <w:p>
            <w:pPr>
              <w:pStyle w:val="Compact"/>
            </w:pPr>
            <w:r>
              <w:t xml:space="preserve">100% das tabelas clínicas</w:t>
            </w:r>
          </w:p>
        </w:tc>
        <w:tc>
          <w:tcPr/>
          <w:p>
            <w:pPr>
              <w:pStyle w:val="Compact"/>
            </w:pPr>
            <w:r>
              <w:t xml:space="preserve">atual</w:t>
            </w:r>
          </w:p>
        </w:tc>
        <w:tc>
          <w:tcPr/>
          <w:p>
            <w:pPr>
              <w:pStyle w:val="Compact"/>
            </w:pPr>
            <w:r>
              <w:t xml:space="preserve">Auditável via supabase--linter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 (vitest)</w:t>
            </w:r>
          </w:p>
        </w:tc>
        <w:tc>
          <w:tcPr/>
          <w:p>
            <w:pPr>
              <w:pStyle w:val="Compact"/>
            </w:pPr>
            <w:r>
              <w:t xml:space="preserve">~38%</w:t>
            </w:r>
          </w:p>
        </w:tc>
        <w:tc>
          <w:tcPr/>
          <w:p>
            <w:pPr>
              <w:pStyle w:val="Compact"/>
            </w:pPr>
            <w:r>
              <w:t xml:space="preserve">atual</w:t>
            </w:r>
          </w:p>
        </w:tc>
        <w:tc>
          <w:tcPr/>
          <w:p>
            <w:pPr>
              <w:pStyle w:val="Compact"/>
            </w:pPr>
            <w:r>
              <w:t xml:space="preserve">Meta 60% para próximo trimestre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coverage PT/EN</w:t>
            </w:r>
          </w:p>
        </w:tc>
        <w:tc>
          <w:tcPr/>
          <w:p>
            <w:pPr>
              <w:pStyle w:val="Compact"/>
            </w:pPr>
            <w:r>
              <w:t xml:space="preserve">99,4%</w:t>
            </w:r>
          </w:p>
        </w:tc>
        <w:tc>
          <w:tcPr/>
          <w:p>
            <w:pPr>
              <w:pStyle w:val="Compact"/>
            </w:pPr>
            <w:r>
              <w:t xml:space="preserve">atual</w:t>
            </w:r>
          </w:p>
        </w:tc>
        <w:tc>
          <w:tcPr/>
          <w:p>
            <w:pPr>
              <w:pStyle w:val="Compact"/>
            </w:pPr>
            <w:r>
              <w:t xml:space="preserve">run-translation-audit semanal</w:t>
            </w:r>
          </w:p>
        </w:tc>
      </w:tr>
    </w:tbl>
    <w:p>
      <w:pPr>
        <w:pStyle w:val="BodyText"/>
      </w:pPr>
      <w:r>
        <w:t xml:space="preserve">Estas métricas serão expostas em dashboard interno como pré-requisito do RWPM (item P0).</w:t>
      </w:r>
    </w:p>
    <w:p>
      <w:pPr>
        <w:pStyle w:val="BodyText"/>
      </w:pPr>
      <w:r>
        <w:rPr>
          <w:b/>
          <w:bCs/>
        </w:rPr>
        <w:t xml:space="preserve">29. Bibliografia</w:t>
      </w:r>
    </w:p>
    <w:p>
      <w:pPr>
        <w:pStyle w:val="BodyText"/>
      </w:pPr>
      <w:r>
        <w:t xml:space="preserve">As citações inline do documento (rodapés [1] a [14]) referenciam exatamente as fontes abaixo. Notas de rodapé Word nativas tornam navegáveis as citações.</w:t>
      </w:r>
    </w:p>
    <w:p>
      <w:pPr>
        <w:numPr>
          <w:ilvl w:val="0"/>
          <w:numId w:val="1001"/>
        </w:numPr>
      </w:pPr>
      <w:r>
        <w:t xml:space="preserve">[1] FDA — Marketing Submission Recommendations for a Predetermined Change Control Plan for AI/ML-Enabled Device Software Functions: Draft Guidance, January 2025. https://www.fda.gov/regulatory-information/search-fda-guidance-documents</w:t>
      </w:r>
    </w:p>
    <w:p>
      <w:pPr>
        <w:numPr>
          <w:ilvl w:val="0"/>
          <w:numId w:val="1001"/>
        </w:numPr>
      </w:pPr>
      <w:r>
        <w:t xml:space="preserve">[2] Wu J. et al. MedGraphRAG: Towards Safe Medical Large Language Model via Graph Retrieval-Augmented Generation. arXiv:2408.04187, 2024. Oxford University. https://arxiv.org/abs/2408.04187</w:t>
      </w:r>
    </w:p>
    <w:p>
      <w:pPr>
        <w:numPr>
          <w:ilvl w:val="0"/>
          <w:numId w:val="1001"/>
        </w:numPr>
      </w:pPr>
      <w:r>
        <w:t xml:space="preserve">[3] Edge D. et al. From Local to Global: A Graph RAG Approach to Query-Focused Summarization. Microsoft Research, arXiv:2404.16130, 2024.</w:t>
      </w:r>
    </w:p>
    <w:p>
      <w:pPr>
        <w:numPr>
          <w:ilvl w:val="0"/>
          <w:numId w:val="1001"/>
        </w:numPr>
      </w:pPr>
      <w:r>
        <w:t xml:space="preserve">[4] EMA — Reflection paper on the use of Artificial Intelligence in the medicinal product lifecycle. EMA/CHMP/CVMP/83833/2023, September 2024. https://www.ema.europa.eu/en/documents/scientific-guideline/reflection-paper-use-artificial-intelligence-ai-medicinal-product-lifecycle_en.pdf</w:t>
      </w:r>
    </w:p>
    <w:p>
      <w:pPr>
        <w:numPr>
          <w:ilvl w:val="0"/>
          <w:numId w:val="1001"/>
        </w:numPr>
      </w:pPr>
      <w:r>
        <w:t xml:space="preserve">[5] Regulation (EU) 2024/1689 (EU AI Act). Official Journal of the European Union, July 2024; high-risk obligations enforceable from August 2026.</w:t>
      </w:r>
    </w:p>
    <w:p>
      <w:pPr>
        <w:numPr>
          <w:ilvl w:val="0"/>
          <w:numId w:val="1001"/>
        </w:numPr>
      </w:pPr>
      <w:r>
        <w:t xml:space="preserve">[6] AVMA — Framework for the Use of Artificial Intelligence in Veterinary Medicine. American Veterinary Medical Association, November 2025.</w:t>
      </w:r>
    </w:p>
    <w:p>
      <w:pPr>
        <w:numPr>
          <w:ilvl w:val="0"/>
          <w:numId w:val="1001"/>
        </w:numPr>
      </w:pPr>
      <w:r>
        <w:t xml:space="preserve">[7] FDA/Health Canada/MHRA — Good Machine Learning Practice for Medical Device Development: Guiding Principles. October 2021 (referenced in 2025 PCCP guidance).</w:t>
      </w:r>
    </w:p>
    <w:p>
      <w:pPr>
        <w:numPr>
          <w:ilvl w:val="0"/>
          <w:numId w:val="1001"/>
        </w:numPr>
      </w:pPr>
      <w:r>
        <w:t xml:space="preserve">[8] Singhal K. et al. Towards Expert-Level Medical Question Answering with Large Language Models (Med-PaLM 2). arXiv:2305.09617, 2023.</w:t>
      </w:r>
    </w:p>
    <w:p>
      <w:pPr>
        <w:numPr>
          <w:ilvl w:val="0"/>
          <w:numId w:val="1001"/>
        </w:numPr>
      </w:pPr>
      <w:r>
        <w:t xml:space="preserve">[9] SNOMED International — SNOMED CT Veterinary Extension (VetSCT). https://www.snomed.org/our-customers/veterinary</w:t>
      </w:r>
    </w:p>
    <w:p>
      <w:pPr>
        <w:numPr>
          <w:ilvl w:val="0"/>
          <w:numId w:val="1001"/>
        </w:numPr>
      </w:pPr>
      <w:r>
        <w:t xml:space="preserve">[10] U.S. National Library of Medicine — Unified Medical Language System (UMLS) Metathesaurus. https://www.nlm.nih.gov/research/umls/</w:t>
      </w:r>
    </w:p>
    <w:p>
      <w:pPr>
        <w:numPr>
          <w:ilvl w:val="0"/>
          <w:numId w:val="1001"/>
        </w:numPr>
      </w:pPr>
      <w:r>
        <w:t xml:space="preserve">[11] Lewis P. et al. Retrieval-Augmented Generation for Knowledge-Intensive NLP Tasks. NeurIPS 2020, arXiv:2005.11401.</w:t>
      </w:r>
    </w:p>
    <w:p>
      <w:pPr>
        <w:numPr>
          <w:ilvl w:val="0"/>
          <w:numId w:val="1001"/>
        </w:numPr>
      </w:pPr>
      <w:r>
        <w:t xml:space="preserve">[12] AAVSB — Model Veterinary Practice Act guidance updates on telemedicine and AI-assisted decision support, 2025 revision.</w:t>
      </w:r>
    </w:p>
    <w:p>
      <w:pPr>
        <w:numPr>
          <w:ilvl w:val="0"/>
          <w:numId w:val="1001"/>
        </w:numPr>
      </w:pPr>
      <w:r>
        <w:t xml:space="preserve">[13] Topol E. High-performance medicine: the convergence of human and artificial intelligence. Nature Medicine, 25, 44–56 (2019).</w:t>
      </w:r>
    </w:p>
    <w:p>
      <w:pPr>
        <w:numPr>
          <w:ilvl w:val="0"/>
          <w:numId w:val="1001"/>
        </w:numPr>
      </w:pPr>
      <w:r>
        <w:t xml:space="preserve">[14] Karim M.R. et al. Explainable AI for clinical decision support: a systematic review. npj Digital Medicine, 2024.</w:t>
      </w:r>
    </w:p>
    <w:p>
      <w:pPr>
        <w:pStyle w:val="FirstParagraph"/>
      </w:pPr>
      <w:r>
        <w:t xml:space="preserve">Fim do documento — VetGraphRAG Auto-Auditoria Técnica v3.0.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Wu J. et al. MedGraphRAG: Towards Safe Medical Large Language Model via Graph Retrieval-Augmented Generation. arXiv:2408.04187, 2024. Oxford University. https://arxiv.org/abs/2408.04187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Edge D. et al. From Local to Global: A Graph RAG Approach to Query-Focused Summarization. Microsoft Research, arXiv:2404.16130, 2024.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Edge D. et al. From Local to Global: A Graph RAG Approach to Query-Focused Summarization. Microsoft Research, arXiv:2404.16130, 2024.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Wu J. et al. MedGraphRAG: Towards Safe Medical Large Language Model via Graph Retrieval-Augmented Generation. arXiv:2408.04187, 2024. Oxford University. https://arxiv.org/abs/2408.04187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FDA — Marketing Submission Recommendations for a Predetermined Change Control Plan for AI/ML-Enabled Device Software Functions: Draft Guidance, January 2025. https://www.fda.gov/regulatory-information/search-fda-guidance-documents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FDA/Health Canada/MHRA — Good Machine Learning Practice for Medical Device Development: Guiding Principles. October 2021 (referenced in 2025 PCCP guidance).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EMA — Reflection paper on the use of Artificial Intelligence in the medicinal product lifecycle. EMA/CHMP/CVMP/83833/2023, September 2024. https://www.ema.europa.eu/en/documents/scientific-guideline/reflection-paper-use-artificial-intelligence-ai-medicinal-product-lifecycle_en.pdf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Regulation (EU) 2024/1689 (EU AI Act). Official Journal of the European Union, July 2024; high-risk obligations enforceable from August 2026.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AVMA — Framework for the Use of Artificial Intelligence in Veterinary Medicine. American Veterinary Medical Association, November 2025.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AAVSB — Model Veterinary Practice Act guidance updates on telemedicine and AI-assisted decision support, 2025 revision.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34" Target="media/rId34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7" Target="media/rId3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2026-05-10T21:17:15Z</dcterms:created>
  <dcterms:modified xsi:type="dcterms:W3CDTF">2026-05-10T21:17:15Z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