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Auditoria Técnica Senex AI v5.1.0</w:t>
      </w:r>
    </w:p>
    <w:p>
      <w:pPr>
        <w:pStyle w:val="Subtitle"/>
      </w:pPr>
      <w:r>
        <w:t xml:space="preserve">Operada por PetMoreTime — sucessor de VetGraphRAG/VetMedGraph</w:t>
      </w:r>
    </w:p>
    <w:p>
      <w:pPr>
        <w:pStyle w:val="Date"/>
      </w:pPr>
      <w:r>
        <w:t xml:space="preserve">2026-05-18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sumário-executivo"/>
    <w:p>
      <w:pPr>
        <w:pStyle w:val="Heading1"/>
      </w:pPr>
      <w:r>
        <w:t xml:space="preserve">Sumário Executivo</w:t>
      </w:r>
    </w:p>
    <w:p>
      <w:pPr>
        <w:pStyle w:val="FirstParagraph"/>
      </w:pPr>
      <w:r>
        <w:t xml:space="preserve">A presente auditoria avalia a versão</w:t>
      </w:r>
      <w:r>
        <w:t xml:space="preserve"> </w:t>
      </w:r>
      <w:r>
        <w:rPr>
          <w:b/>
          <w:bCs/>
        </w:rPr>
        <w:t xml:space="preserve">5.1.0</w:t>
      </w:r>
      <w:r>
        <w:t xml:space="preserve"> </w:t>
      </w:r>
      <w:r>
        <w:t xml:space="preserve">da plataforma</w:t>
      </w:r>
      <w:r>
        <w:t xml:space="preserve"> </w:t>
      </w:r>
      <w:r>
        <w:rPr>
          <w:b/>
          <w:bCs/>
        </w:rPr>
        <w:t xml:space="preserve">Senex AI</w:t>
      </w:r>
      <w:r>
        <w:t xml:space="preserve"> </w:t>
      </w:r>
      <w:r>
        <w:t xml:space="preserve">(i18n 1.63.0, changelog 2026-05-18) — um sistema clínico-veterinário de recomendação de protocolos geroprotetores para cães, ancorado em (i) um</w:t>
      </w:r>
      <w:r>
        <w:t xml:space="preserve"> </w:t>
      </w:r>
      <w:r>
        <w:rPr>
          <w:i/>
          <w:iCs/>
        </w:rPr>
        <w:t xml:space="preserve">knowledge graph</w:t>
      </w:r>
      <w:r>
        <w:t xml:space="preserve"> </w:t>
      </w:r>
      <w:r>
        <w:t xml:space="preserve">de 5 camadas alimentado por</w:t>
      </w:r>
      <w:r>
        <w:t xml:space="preserve"> </w:t>
      </w:r>
      <w:r>
        <w:rPr>
          <w:i/>
          <w:iCs/>
        </w:rPr>
        <w:t xml:space="preserve">triplets</w:t>
      </w:r>
      <w:r>
        <w:t xml:space="preserve"> </w:t>
      </w:r>
      <w:r>
        <w:t xml:space="preserve">extraídos de literatura científica curada, (ii) um</w:t>
      </w:r>
      <w:r>
        <w:t xml:space="preserve"> </w:t>
      </w:r>
      <w:r>
        <w:rPr>
          <w:i/>
          <w:iCs/>
        </w:rPr>
        <w:t xml:space="preserve">Digital Twin</w:t>
      </w:r>
      <w:r>
        <w:t xml:space="preserve"> </w:t>
      </w:r>
      <w:r>
        <w:t xml:space="preserve">probabilístico de mortalidade (modelo de Gompertz por raça) e (iii) um motor de recomendação híbrida com limite de 8 compostos sinérgicos por stack.</w:t>
      </w:r>
    </w:p>
    <w:p>
      <w:pPr>
        <w:pStyle w:val="BodyText"/>
      </w:pPr>
      <w:r>
        <w:rPr>
          <w:b/>
          <w:bCs/>
        </w:rPr>
        <w:t xml:space="preserve">Veredito geral:</w:t>
      </w:r>
      <w:r>
        <w:t xml:space="preserve"> </w:t>
      </w:r>
      <w:r>
        <w:t xml:space="preserve">o sistema atingiu</w:t>
      </w:r>
      <w:r>
        <w:t xml:space="preserve"> </w:t>
      </w:r>
      <w:r>
        <w:rPr>
          <w:b/>
          <w:bCs/>
        </w:rPr>
        <w:t xml:space="preserve">maturidade operacional</w:t>
      </w:r>
      <w:r>
        <w:t xml:space="preserve"> </w:t>
      </w:r>
      <w:r>
        <w:t xml:space="preserve">em 9 dos 12 domínios avaliados. Identificamos</w:t>
      </w:r>
      <w:r>
        <w:t xml:space="preserve"> </w:t>
      </w:r>
      <w:r>
        <w:rPr>
          <w:b/>
          <w:bCs/>
        </w:rPr>
        <w:t xml:space="preserve">18 forças</w:t>
      </w:r>
      <w:r>
        <w:t xml:space="preserve">,</w:t>
      </w:r>
      <w:r>
        <w:t xml:space="preserve"> </w:t>
      </w:r>
      <w:r>
        <w:rPr>
          <w:b/>
          <w:bCs/>
        </w:rPr>
        <w:t xml:space="preserve">12 gaps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5 riscos</w:t>
      </w:r>
      <w:r>
        <w:t xml:space="preserve">, sendo</w:t>
      </w:r>
      <w:r>
        <w:t xml:space="preserve"> </w:t>
      </w:r>
      <w:r>
        <w:rPr>
          <w:b/>
          <w:bCs/>
        </w:rPr>
        <w:t xml:space="preserve">1 risco CRÍTICO</w:t>
      </w:r>
      <w:r>
        <w:t xml:space="preserve"> </w:t>
      </w:r>
      <w:r>
        <w:t xml:space="preserve">(latência de revisão humana sobre triplets &lt;0.50),</w:t>
      </w:r>
      <w:r>
        <w:t xml:space="preserve"> </w:t>
      </w:r>
      <w:r>
        <w:rPr>
          <w:b/>
          <w:bCs/>
        </w:rPr>
        <w:t xml:space="preserve">4 ALTOS</w:t>
      </w:r>
      <w:r>
        <w:t xml:space="preserve">,</w:t>
      </w:r>
      <w:r>
        <w:t xml:space="preserve"> </w:t>
      </w:r>
      <w:r>
        <w:rPr>
          <w:b/>
          <w:bCs/>
        </w:rPr>
        <w:t xml:space="preserve">4 MÉDIOS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3 BAIXOS</w:t>
      </w:r>
      <w:r>
        <w:t xml:space="preserve">. A arquitetura é defensável academicamente (Stanford-grade) e regulatoriamente (FDA-CVM / EMA-CVMP / AVMA), com governança clínica fechada via vet-curator.</w:t>
      </w:r>
    </w:p>
    <w:p>
      <w:pPr>
        <w:pStyle w:val="BodyText"/>
      </w:pPr>
      <w:r>
        <w:rPr>
          <w:b/>
          <w:bCs/>
        </w:rPr>
        <w:t xml:space="preserve">Snapshot quantitativo (DB ao momento da auditoria):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Domínio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Tabelas no schema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Políticas RLS ativas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functions deployed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Triplets extraídos (total)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Triplets aprovados (curadoria)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3.924 (82,0%)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Estudos científicos curados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Arestas hierárquicas (KG)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38.643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Condições clínicas catalogadas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Nutracêuticos 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Pets sintéticos (cohorts)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 em 11 cohorts</w:t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Métricas do sistema</w:t>
            </w:r>
          </w:p>
        </w:tc>
      </w:tr>
    </w:tbl>
    <w:p>
      <w:pPr>
        <w:pStyle w:val="ImageCaption"/>
      </w:pPr>
      <w:r>
        <w:t xml:space="preserve">Métricas do sistema</w:t>
      </w:r>
    </w:p>
    <w:bookmarkEnd w:id="9"/>
    <w:bookmarkStart w:id="14" w:name="arquitetura-técnica"/>
    <w:p>
      <w:pPr>
        <w:pStyle w:val="Heading1"/>
      </w:pPr>
      <w:r>
        <w:t xml:space="preserve">1. Arquitetura Técnica</w:t>
      </w:r>
    </w:p>
    <w:bookmarkStart w:id="10" w:name="stack"/>
    <w:p>
      <w:pPr>
        <w:pStyle w:val="Heading2"/>
      </w:pPr>
      <w:r>
        <w:t xml:space="preserve">1.1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18 · Vite 5 · TypeScript 5 · Tailwind v3 (tokens semânticos HSL em</w:t>
      </w:r>
      <w:r>
        <w:t xml:space="preserve"> </w:t>
      </w:r>
      <w:r>
        <w:rPr>
          <w:rStyle w:val="VerbatimChar"/>
        </w:rPr>
        <w:t xml:space="preserve">index.css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tailwind.config.ts</w:t>
      </w:r>
      <w:r>
        <w:t xml:space="preserve">) · shadcn-ui · react-i18next · react-force-graph-3d (WebGL).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(Lovable Cloud):</w:t>
      </w:r>
      <w:r>
        <w:t xml:space="preserve"> </w:t>
      </w:r>
      <w:r>
        <w:t xml:space="preserve">Supabase Postgres 15 + pgvector + 68 Edge Functions Deno.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Gateway:</w:t>
      </w:r>
      <w:r>
        <w:t xml:space="preserve"> </w:t>
      </w:r>
      <w:r>
        <w:t xml:space="preserve">Lovable AI (Gemini 2.5 Pro / Flash, GPT-5.x, Gemini 3.x preview) — sem necessidade de chaves do usuário.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Sync externo:</w:t>
      </w:r>
      <w:r>
        <w:t xml:space="preserve"> </w:t>
      </w:r>
      <w:r>
        <w:t xml:space="preserve">Neo4j (snake_case enforced) via</w:t>
      </w:r>
      <w:r>
        <w:t xml:space="preserve"> </w:t>
      </w:r>
      <w:r>
        <w:rPr>
          <w:rStyle w:val="VerbatimChar"/>
        </w:rPr>
        <w:t xml:space="preserve">sync-study-to-neo4j</w:t>
      </w:r>
      <w:r>
        <w:t xml:space="preserve"> </w:t>
      </w:r>
      <w:r>
        <w:t xml:space="preserve">para visualização 3D de larga escala.</w:t>
      </w:r>
    </w:p>
    <w:bookmarkEnd w:id="10"/>
    <w:bookmarkStart w:id="11" w:name="pipeline-de-curadoria-7-estágios"/>
    <w:p>
      <w:pPr>
        <w:pStyle w:val="Heading2"/>
      </w:pPr>
      <w:r>
        <w:t xml:space="preserve">1.2 Pipeline de Curadoria — 7 Estágios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Pipeline de Curadoria</w:t>
            </w:r>
          </w:p>
        </w:tc>
      </w:tr>
    </w:tbl>
    <w:p>
      <w:pPr>
        <w:pStyle w:val="ImageCaption"/>
      </w:pPr>
      <w:r>
        <w:t xml:space="preserve">Pipeline de Curadoria</w:t>
      </w:r>
    </w:p>
    <w:p>
      <w:pPr>
        <w:pStyle w:val="BodyText"/>
      </w:pPr>
      <w:r>
        <w:t xml:space="preserve">O coração do sistema é um pipeline determinístico de 7 estágios. Cada estágio é uma edge function isolada com responsabilidade única e telemetria própria. O</w:t>
      </w:r>
      <w:r>
        <w:t xml:space="preserve"> </w:t>
      </w:r>
      <w:r>
        <w:rPr>
          <w:b/>
          <w:bCs/>
        </w:rPr>
        <w:t xml:space="preserve">gatekeeper de curadoria</w:t>
      </w:r>
      <w:r>
        <w:t xml:space="preserve"> </w:t>
      </w:r>
      <w:r>
        <w:t xml:space="preserve">(estágio 5) é o invariante mais importante: nenhum triplet com confidence &lt; 0.50 chega ao KG público sem aprovação humana explícita.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Estágio</w:t>
            </w:r>
          </w:p>
        </w:tc>
        <w:tc>
          <w:tcPr/>
          <w:p>
            <w:pPr>
              <w:pStyle w:val="Compact"/>
            </w:pPr>
            <w:r>
              <w:t xml:space="preserve">Edge function</w:t>
            </w:r>
          </w:p>
        </w:tc>
        <w:tc>
          <w:tcPr/>
          <w:p>
            <w:pPr>
              <w:pStyle w:val="Compact"/>
            </w:pPr>
            <w:r>
              <w:t xml:space="preserve">Garante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Ingestão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download-study-pdf</w:t>
            </w:r>
          </w:p>
        </w:tc>
        <w:tc>
          <w:tcPr/>
          <w:p>
            <w:pPr>
              <w:pStyle w:val="Compact"/>
            </w:pPr>
            <w:r>
              <w:t xml:space="preserve">SHA-256 dedup + Levenshtein título (95%)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Parse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parse-study</w:t>
            </w:r>
          </w:p>
        </w:tc>
        <w:tc>
          <w:tcPr/>
          <w:p>
            <w:pPr>
              <w:pStyle w:val="Compact"/>
            </w:pPr>
            <w:r>
              <w:t xml:space="preserve">Texto + chunks + metadados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Vetorização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vectorize-study</w:t>
            </w:r>
          </w:p>
        </w:tc>
        <w:tc>
          <w:tcPr/>
          <w:p>
            <w:pPr>
              <w:pStyle w:val="Compact"/>
            </w:pPr>
            <w:r>
              <w:t xml:space="preserve">Embeddings 3072-dim em</w:t>
            </w:r>
            <w:r>
              <w:t xml:space="preserve"> </w:t>
            </w:r>
            <w:r>
              <w:rPr>
                <w:rStyle w:val="VerbatimChar"/>
              </w:rPr>
              <w:t xml:space="preserve">study_embeddings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Extração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extract-study-entities</w:t>
            </w:r>
            <w:r>
              <w:t xml:space="preserve"> </w:t>
            </w:r>
            <w:r>
              <w:t xml:space="preserve">(chunked)</w:t>
            </w:r>
          </w:p>
        </w:tc>
        <w:tc>
          <w:tcPr/>
          <w:p>
            <w:pPr>
              <w:pStyle w:val="Compact"/>
            </w:pPr>
            <w:r>
              <w:t xml:space="preserve">Triplets com</w:t>
            </w:r>
            <w:r>
              <w:t xml:space="preserve"> </w:t>
            </w:r>
            <w:r>
              <w:rPr>
                <w:rStyle w:val="VerbatimChar"/>
              </w:rPr>
              <w:t xml:space="preserve">source_excerpt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confidence_rationale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Curadoria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triplet-curation</w:t>
            </w:r>
            <w:r>
              <w:t xml:space="preserve"> </w:t>
            </w:r>
            <w:r>
              <w:t xml:space="preserve">UI +</w:t>
            </w:r>
            <w:r>
              <w:t xml:space="preserve"> </w:t>
            </w:r>
            <w:r>
              <w:rPr>
                <w:rStyle w:val="VerbatimChar"/>
              </w:rPr>
              <w:t xml:space="preserve">enrich-triplet</w:t>
            </w:r>
          </w:p>
        </w:tc>
        <w:tc>
          <w:tcPr/>
          <w:p>
            <w:pPr>
              <w:pStyle w:val="Compact"/>
            </w:pPr>
            <w:r>
              <w:t xml:space="preserve">≥0.50 auto-aprova · &lt;0.50 isolado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— Sync 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sync-study-to-neo4j</w:t>
            </w:r>
          </w:p>
        </w:tc>
        <w:tc>
          <w:tcPr/>
          <w:p>
            <w:pPr>
              <w:pStyle w:val="Compact"/>
            </w:pPr>
            <w:r>
              <w:t xml:space="preserve">Snake_case · UUID canônico · reclassificação dirigida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— Recomendação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recommend-stack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digital-twin-projection</w:t>
            </w:r>
          </w:p>
        </w:tc>
        <w:tc>
          <w:tcPr/>
          <w:p>
            <w:pPr>
              <w:pStyle w:val="Compact"/>
            </w:pPr>
            <w:r>
              <w:t xml:space="preserve">Cap 8 · justificativa por pathway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Princípio de pré-curadoria:</w:t>
      </w:r>
      <w:r>
        <w:t xml:space="preserve"> </w:t>
      </w:r>
      <w:r>
        <w:t xml:space="preserve">vetorização (estágio 3) é pré-requisito do estágio 5 — o curador precisa do</w:t>
      </w:r>
      <w:r>
        <w:t xml:space="preserve"> </w:t>
      </w:r>
      <w:r>
        <w:rPr>
          <w:i/>
          <w:iCs/>
        </w:rPr>
        <w:t xml:space="preserve">trecho de origem</w:t>
      </w:r>
      <w:r>
        <w:t xml:space="preserve"> </w:t>
      </w:r>
      <w:r>
        <w:t xml:space="preserve">para auditar o triplet. O disparo é centralizado em</w:t>
      </w:r>
      <w:r>
        <w:t xml:space="preserve"> </w:t>
      </w:r>
      <w:r>
        <w:rPr>
          <w:rStyle w:val="VerbatimChar"/>
        </w:rPr>
        <w:t xml:space="preserve">extract-study-entities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EdgeRuntime.waitUntil</w:t>
      </w:r>
      <w:r>
        <w:t xml:space="preserve">.</w:t>
      </w:r>
    </w:p>
    <w:bookmarkEnd w:id="11"/>
    <w:bookmarkStart w:id="12" w:name="knowledge-graph-modelo-de-5-camadas"/>
    <w:p>
      <w:pPr>
        <w:pStyle w:val="Heading2"/>
      </w:pPr>
      <w:r>
        <w:t xml:space="preserve">1.3 Knowledge Graph — Modelo de 5 Camadas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KG 5 camadas</w:t>
            </w:r>
          </w:p>
        </w:tc>
      </w:tr>
    </w:tbl>
    <w:p>
      <w:pPr>
        <w:pStyle w:val="ImageCaption"/>
      </w:pPr>
      <w:r>
        <w:t xml:space="preserve">KG 5 camadas</w:t>
      </w:r>
    </w:p>
    <w:p>
      <w:pPr>
        <w:pStyle w:val="BodyText"/>
      </w:pPr>
      <w:r>
        <w:t xml:space="preserve">A ontologia do Senex AI separa</w:t>
      </w:r>
      <w:r>
        <w:t xml:space="preserve"> </w:t>
      </w:r>
      <w:r>
        <w:rPr>
          <w:b/>
          <w:bCs/>
        </w:rPr>
        <w:t xml:space="preserve">5 níveis causais</w:t>
      </w:r>
      <w:r>
        <w:t xml:space="preserve"> </w:t>
      </w:r>
      <w:r>
        <w:t xml:space="preserve">(Compostos → Mecanismos → Pathways → Condições → Outcomes). Esta separação é a base da explicabilidade clínica: toda recomendação pode ser justificada percorrendo as arestas inversamente (do outcome até o composto).</w:t>
      </w:r>
    </w:p>
    <w:p>
      <w:pPr>
        <w:pStyle w:val="BodyText"/>
      </w:pPr>
      <w:r>
        <w:t xml:space="preserve">Cada aresta carrega: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predicate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inhibits</w:t>
      </w:r>
      <w:r>
        <w:t xml:space="preserve">,</w:t>
      </w:r>
      <w:r>
        <w:t xml:space="preserve"> </w:t>
      </w:r>
      <w:r>
        <w:rPr>
          <w:rStyle w:val="VerbatimChar"/>
        </w:rPr>
        <w:t xml:space="preserve">upregulates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contraindicated_with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confidence</w:t>
      </w:r>
      <w:r>
        <w:t xml:space="preserve"> </w:t>
      </w:r>
      <w:r>
        <w:t xml:space="preserve">(0–1)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evidence_level</w:t>
      </w:r>
      <w:r>
        <w:t xml:space="preserve"> </w:t>
      </w:r>
      <w:r>
        <w:t xml:space="preserve">(A · B · C · D — mapeado de Stage 1 extraction)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intensity</w:t>
      </w:r>
      <w:r>
        <w:t xml:space="preserve"> </w:t>
      </w:r>
      <w:r>
        <w:t xml:space="preserve">(escala clamped 0–3)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source_triplet_id</w:t>
      </w:r>
      <w:r>
        <w:t xml:space="preserve"> </w:t>
      </w:r>
      <w:r>
        <w:t xml:space="preserve">→ rastreável até chunk + estudo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years_gained_proxy</w:t>
      </w:r>
      <w:r>
        <w:t xml:space="preserve"> </w:t>
      </w:r>
      <w:r>
        <w:t xml:space="preserve">(alimenta o Digital Twin)</w:t>
      </w:r>
    </w:p>
    <w:p>
      <w:pPr>
        <w:pStyle w:val="FirstParagraph"/>
      </w:pPr>
      <w:r>
        <w:rPr>
          <w:b/>
          <w:bCs/>
        </w:rPr>
        <w:t xml:space="preserve">Predicate mapping:</w:t>
      </w:r>
      <w:r>
        <w:t xml:space="preserve"> </w:t>
      </w:r>
      <w:r>
        <w:rPr>
          <w:rStyle w:val="VerbatimChar"/>
        </w:rPr>
        <w:t xml:space="preserve">predicate-mapping</w:t>
      </w:r>
      <w:r>
        <w:t xml:space="preserve"> </w:t>
      </w:r>
      <w:r>
        <w:t xml:space="preserve">normaliza variantes inválidas do LLM (</w:t>
      </w:r>
      <w:r>
        <w:rPr>
          <w:rStyle w:val="VerbatimChar"/>
        </w:rPr>
        <w:t xml:space="preserve">reduces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decreases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lowers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inhibits</w:t>
      </w:r>
      <w:r>
        <w:t xml:space="preserve">) antes da validação.</w:t>
      </w:r>
    </w:p>
    <w:bookmarkEnd w:id="12"/>
    <w:bookmarkStart w:id="13" w:name="modelo-de-dados-tabelas-críticas"/>
    <w:p>
      <w:pPr>
        <w:pStyle w:val="Heading2"/>
      </w:pPr>
      <w:r>
        <w:t xml:space="preserve">1.4 Modelo de Dados — Tabelas Críticas</w:t>
      </w:r>
    </w:p>
    <w:p>
      <w:pPr>
        <w:pStyle w:val="SourceCode"/>
      </w:pPr>
      <w:r>
        <w:rPr>
          <w:rStyle w:val="VerbatimChar"/>
        </w:rPr>
        <w:t xml:space="preserve">auth.users (Supabase)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user_roles (enum app_role: admin·moderator·user·vet)  → has_role()</w:t>
      </w:r>
      <w:r>
        <w:br/>
      </w:r>
      <w:r>
        <w:rPr>
          <w:rStyle w:val="VerbatimChar"/>
        </w:rPr>
        <w:t xml:space="preserve">   ├── profiles (display_name, avatar)</w:t>
      </w:r>
      <w:r>
        <w:br/>
      </w:r>
      <w:r>
        <w:rPr>
          <w:rStyle w:val="VerbatimChar"/>
        </w:rPr>
        <w:t xml:space="preserve">   ├── pet_profiles ─── pet_conditions</w:t>
      </w:r>
      <w:r>
        <w:br/>
      </w:r>
      <w:r>
        <w:rPr>
          <w:rStyle w:val="VerbatimChar"/>
        </w:rPr>
        <w:t xml:space="preserve">   │                ─── pet_exams ─── pet_exam_results</w:t>
      </w:r>
      <w:r>
        <w:br/>
      </w:r>
      <w:r>
        <w:rPr>
          <w:rStyle w:val="VerbatimChar"/>
        </w:rPr>
        <w:t xml:space="preserve">   │                ─── pet_medications</w:t>
      </w:r>
      <w:r>
        <w:br/>
      </w:r>
      <w:r>
        <w:rPr>
          <w:rStyle w:val="VerbatimChar"/>
        </w:rPr>
        <w:t xml:space="preserve">   │                ─── pet_consultations (trigger: is_latest)</w:t>
      </w:r>
      <w:r>
        <w:br/>
      </w:r>
      <w:r>
        <w:rPr>
          <w:rStyle w:val="VerbatimChar"/>
        </w:rPr>
        <w:t xml:space="preserve">   ├── scientific_studies ─── study_embeddings (pgvector 3072)</w:t>
      </w:r>
      <w:r>
        <w:br/>
      </w:r>
      <w:r>
        <w:rPr>
          <w:rStyle w:val="VerbatimChar"/>
        </w:rPr>
        <w:t xml:space="preserve">   │                     ─── triplet_extractions ─── hierarchical_edges</w:t>
      </w:r>
      <w:r>
        <w:br/>
      </w:r>
      <w:r>
        <w:rPr>
          <w:rStyle w:val="VerbatimChar"/>
        </w:rPr>
        <w:t xml:space="preserve">   ├── health_conditions (191) ─── nutraceutical_conditions ─── nutraceuticals (30)</w:t>
      </w:r>
      <w:r>
        <w:br/>
      </w:r>
      <w:r>
        <w:rPr>
          <w:rStyle w:val="VerbatimChar"/>
        </w:rPr>
        <w:t xml:space="preserve">   ├── breed_predispositions</w:t>
      </w:r>
      <w:r>
        <w:br/>
      </w:r>
      <w:r>
        <w:rPr>
          <w:rStyle w:val="VerbatimChar"/>
        </w:rPr>
        <w:t xml:space="preserve">   ├── synthetic_cohorts (11) ─── pet_profiles (is_synthetic=true, 660)</w:t>
      </w:r>
      <w:r>
        <w:br/>
      </w:r>
      <w:r>
        <w:rPr>
          <w:rStyle w:val="VerbatimChar"/>
        </w:rPr>
        <w:t xml:space="preserve">   ├── cohort_insights (vet_review_status)</w:t>
      </w:r>
      <w:r>
        <w:br/>
      </w:r>
      <w:r>
        <w:rPr>
          <w:rStyle w:val="VerbatimChar"/>
        </w:rPr>
        <w:t xml:space="preserve">   ├── meta_studies (cover_image_url)</w:t>
      </w:r>
      <w:r>
        <w:br/>
      </w:r>
      <w:r>
        <w:rPr>
          <w:rStyle w:val="VerbatimChar"/>
        </w:rPr>
        <w:t xml:space="preserve">   ├── audit_requests ─── technical_audits</w:t>
      </w:r>
      <w:r>
        <w:br/>
      </w:r>
      <w:r>
        <w:rPr>
          <w:rStyle w:val="VerbatimChar"/>
        </w:rPr>
        <w:t xml:space="preserve">   └── translations (versionada)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b/>
          <w:bCs/>
        </w:rPr>
        <w:t xml:space="preserve">93 tabelas</w:t>
      </w:r>
      <w:r>
        <w:t xml:space="preserve"> </w:t>
      </w:r>
      <w:r>
        <w:t xml:space="preserve">no schema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b/>
          <w:bCs/>
        </w:rPr>
        <w:t xml:space="preserve">245 políticas RLS</w:t>
      </w:r>
      <w:r>
        <w:t xml:space="preserve"> </w:t>
      </w:r>
      <w:r>
        <w:t xml:space="preserve">ativas,</w:t>
      </w:r>
      <w:r>
        <w:t xml:space="preserve"> </w:t>
      </w:r>
      <w:r>
        <w:rPr>
          <w:b/>
          <w:bCs/>
        </w:rPr>
        <w:t xml:space="preserve">68 edge functions</w:t>
      </w:r>
      <w:r>
        <w:t xml:space="preserve">.</w:t>
      </w:r>
    </w:p>
    <w:bookmarkEnd w:id="13"/>
    <w:bookmarkEnd w:id="14"/>
    <w:bookmarkStart w:id="18" w:name="governança-segurança"/>
    <w:p>
      <w:pPr>
        <w:pStyle w:val="Heading1"/>
      </w:pPr>
      <w:r>
        <w:t xml:space="preserve">2. Governança &amp; Segurança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Governança RLS</w:t>
            </w:r>
          </w:p>
        </w:tc>
      </w:tr>
    </w:tbl>
    <w:p>
      <w:pPr>
        <w:pStyle w:val="ImageCaption"/>
      </w:pPr>
      <w:r>
        <w:t xml:space="preserve">Governança RLS</w:t>
      </w:r>
    </w:p>
    <w:bookmarkStart w:id="15" w:name="princípios-de-rls"/>
    <w:p>
      <w:pPr>
        <w:pStyle w:val="Heading2"/>
      </w:pPr>
      <w:r>
        <w:t xml:space="preserve">2.1 Princípios de RLS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Roles nunca na tabela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profiles</w:t>
      </w:r>
      <w:r>
        <w:t xml:space="preserve"> </w:t>
      </w:r>
      <w:r>
        <w:t xml:space="preserve">— armazenados em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com enum</w:t>
      </w:r>
      <w:r>
        <w:t xml:space="preserve"> </w:t>
      </w:r>
      <w:r>
        <w:rPr>
          <w:rStyle w:val="VerbatimChar"/>
        </w:rPr>
        <w:t xml:space="preserve">app_role</w:t>
      </w:r>
      <w:r>
        <w:t xml:space="preserve">. Previne escalonamento horizontal de privilégios.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has_role(uid, role)</w:t>
      </w:r>
      <w:r>
        <w:rPr>
          <w:b/>
          <w:bCs/>
        </w:rPr>
        <w:t xml:space="preserve"> </w:t>
      </w:r>
      <w:r>
        <w:rPr>
          <w:b/>
          <w:bCs/>
        </w:rPr>
        <w:t xml:space="preserve">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SECURITY DEFINER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SET search_path = public</w:t>
      </w:r>
      <w:r>
        <w:t xml:space="preserve"> </w:t>
      </w:r>
      <w:r>
        <w:t xml:space="preserve">— bypassa RLS recursivo sem expor.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 TABLE</w:t>
      </w:r>
      <w:r>
        <w:rPr>
          <w:b/>
          <w:bCs/>
        </w:rPr>
        <w:t xml:space="preserve"> </w:t>
      </w:r>
      <w:r>
        <w:rPr>
          <w:b/>
          <w:bCs/>
        </w:rPr>
        <w:t xml:space="preserve">no schema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public</w:t>
      </w:r>
      <w:r>
        <w:rPr>
          <w:b/>
          <w:bCs/>
        </w:rPr>
        <w:t xml:space="preserve"> </w:t>
      </w:r>
      <w:r>
        <w:rPr>
          <w:b/>
          <w:bCs/>
        </w:rPr>
        <w:t xml:space="preserve">vem com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GRANT</w:t>
      </w:r>
      <w:r>
        <w:rPr>
          <w:b/>
          <w:bCs/>
        </w:rPr>
        <w:t xml:space="preserve"> </w:t>
      </w:r>
      <w:r>
        <w:rPr>
          <w:b/>
          <w:bCs/>
        </w:rPr>
        <w:t xml:space="preserve">na mesma migration.</w:t>
      </w:r>
      <w:r>
        <w:t xml:space="preserve"> </w:t>
      </w:r>
      <w:r>
        <w:t xml:space="preserve">Sem GRANT, PostgREST retorna 403 mesmo com RLS permissivo.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service_role</w:t>
      </w:r>
      <w:r>
        <w:rPr>
          <w:b/>
          <w:bCs/>
        </w:rPr>
        <w:t xml:space="preserve"> </w:t>
      </w:r>
      <w:r>
        <w:rPr>
          <w:b/>
          <w:bCs/>
        </w:rPr>
        <w:t xml:space="preserve">sempre tem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</w:t>
      </w:r>
      <w:r>
        <w:t xml:space="preserve"> </w:t>
      </w:r>
      <w:r>
        <w:t xml:space="preserve">— usado por edge functions admin.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anon</w:t>
      </w:r>
      <w:r>
        <w:rPr>
          <w:b/>
          <w:bCs/>
        </w:rPr>
        <w:t xml:space="preserve"> </w:t>
      </w:r>
      <w:r>
        <w:rPr>
          <w:b/>
          <w:bCs/>
        </w:rPr>
        <w:t xml:space="preserve">recebe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</w:t>
      </w:r>
      <w:r>
        <w:rPr>
          <w:b/>
          <w:bCs/>
        </w:rPr>
        <w:t xml:space="preserve"> </w:t>
      </w:r>
      <w:r>
        <w:rPr>
          <w:b/>
          <w:bCs/>
        </w:rPr>
        <w:t xml:space="preserve">apenas em tabelas explicitamente públicas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pet_profiles</w:t>
      </w:r>
      <w:r>
        <w:t xml:space="preserve"> </w:t>
      </w:r>
      <w:r>
        <w:t xml:space="preserve">quando</w:t>
      </w:r>
      <w:r>
        <w:t xml:space="preserve"> </w:t>
      </w:r>
      <w:r>
        <w:rPr>
          <w:rStyle w:val="VerbatimChar"/>
        </w:rPr>
        <w:t xml:space="preserve">is_demo=true</w:t>
      </w:r>
      <w:r>
        <w:t xml:space="preserve">).</w:t>
      </w:r>
    </w:p>
    <w:bookmarkEnd w:id="15"/>
    <w:bookmarkStart w:id="16" w:name="has_role-implementação-canônica"/>
    <w:p>
      <w:pPr>
        <w:pStyle w:val="Heading2"/>
      </w:pPr>
      <w:r>
        <w:t xml:space="preserve">2.2 has_role — implementação canônica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.has_role(_uid uuid, _role app_role)</w:t>
      </w:r>
      <w:r>
        <w:br/>
      </w:r>
      <w:r>
        <w:rPr>
          <w:rStyle w:val="NormalTok"/>
        </w:rPr>
        <w:t xml:space="preserve">RETURNS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LANGUAGE sql STABLE SECURITY </w:t>
      </w:r>
      <w:r>
        <w:rPr>
          <w:rStyle w:val="KeywordTok"/>
        </w:rPr>
        <w:t xml:space="preserve">DEFINER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user_roles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_uid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_role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$$;</w:t>
      </w:r>
    </w:p>
    <w:p>
      <w:pPr>
        <w:pStyle w:val="FirstParagraph"/>
      </w:pPr>
      <w:r>
        <w:t xml:space="preserve">Usada em policies como: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"Admins manage cohorts"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.synthetic_cohorts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.has_role(auth.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));</w:t>
      </w:r>
    </w:p>
    <w:bookmarkEnd w:id="16"/>
    <w:bookmarkStart w:id="17" w:name="auditoria-de-roles"/>
    <w:p>
      <w:pPr>
        <w:pStyle w:val="Heading2"/>
      </w:pPr>
      <w:r>
        <w:t xml:space="preserve">2.3 Auditoria de roles</w:t>
      </w:r>
    </w:p>
    <w:p>
      <w:pPr>
        <w:pStyle w:val="FirstParagraph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is_admin()</w:t>
      </w:r>
      <w:r>
        <w:t xml:space="preserve"> </w:t>
      </w:r>
      <w:r>
        <w:t xml:space="preserve">está disponível em SQL, e a função</w:t>
      </w:r>
      <w:r>
        <w:t xml:space="preserve"> </w:t>
      </w:r>
      <w:r>
        <w:rPr>
          <w:rStyle w:val="VerbatimChar"/>
        </w:rPr>
        <w:t xml:space="preserve">count_pending_access_requests()</w:t>
      </w:r>
      <w:r>
        <w:t xml:space="preserve"> </w:t>
      </w:r>
      <w:r>
        <w:t xml:space="preserve">gera contagens auditáveis para a UI de governança. Todos os atalhos</w:t>
      </w:r>
      <w:r>
        <w:t xml:space="preserve"> </w:t>
      </w:r>
      <w:r>
        <w:rPr>
          <w:rStyle w:val="VerbatimChar"/>
        </w:rPr>
        <w:t xml:space="preserve">approve_access_request(uuid)</w:t>
      </w:r>
      <w:r>
        <w:t xml:space="preserve"> </w:t>
      </w:r>
      <w:r>
        <w:t xml:space="preserve">rodam em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e validam</w:t>
      </w:r>
      <w:r>
        <w:t xml:space="preserve"> </w:t>
      </w:r>
      <w:r>
        <w:rPr>
          <w:rStyle w:val="VerbatimChar"/>
        </w:rPr>
        <w:t xml:space="preserve">is_admin()</w:t>
      </w:r>
      <w:r>
        <w:t xml:space="preserve"> </w:t>
      </w:r>
      <w:r>
        <w:t xml:space="preserve">no topo.</w:t>
      </w:r>
    </w:p>
    <w:bookmarkEnd w:id="17"/>
    <w:bookmarkEnd w:id="18"/>
    <w:bookmarkStart w:id="23" w:name="sistema-bilingue-pten"/>
    <w:p>
      <w:pPr>
        <w:pStyle w:val="Heading1"/>
      </w:pPr>
      <w:r>
        <w:t xml:space="preserve">3. Sistema Bilingue PT/EN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Bilingue 3 camadas</w:t>
            </w:r>
          </w:p>
        </w:tc>
      </w:tr>
    </w:tbl>
    <w:p>
      <w:pPr>
        <w:pStyle w:val="ImageCaption"/>
      </w:pPr>
      <w:r>
        <w:t xml:space="preserve">Bilingue 3 camadas</w:t>
      </w:r>
    </w:p>
    <w:bookmarkStart w:id="19" w:name="política"/>
    <w:p>
      <w:pPr>
        <w:pStyle w:val="Heading2"/>
      </w:pPr>
      <w:r>
        <w:t xml:space="preserve">3.1 Política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Camada UI:</w:t>
      </w:r>
      <w:r>
        <w:t xml:space="preserve"> </w:t>
      </w:r>
      <w:r>
        <w:rPr>
          <w:rStyle w:val="VerbatimChar"/>
        </w:rPr>
        <w:t xml:space="preserve">useTranslation()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t('key')</w:t>
      </w:r>
      <w:r>
        <w:t xml:space="preserve">. Nunca textos hardcoded.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Camada DB:</w:t>
      </w:r>
      <w:r>
        <w:t xml:space="preserve"> </w:t>
      </w:r>
      <w:r>
        <w:t xml:space="preserve">colunas pares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/</w:t>
      </w:r>
      <w:r>
        <w:rPr>
          <w:rStyle w:val="VerbatimChar"/>
        </w:rPr>
        <w:t xml:space="preserve">name_en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/</w:t>
      </w:r>
      <w:r>
        <w:rPr>
          <w:rStyle w:val="VerbatimChar"/>
        </w:rPr>
        <w:t xml:space="preserve">description_en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/</w:t>
      </w:r>
      <w:r>
        <w:rPr>
          <w:rStyle w:val="VerbatimChar"/>
        </w:rPr>
        <w:t xml:space="preserve">category_en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Camada estática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.ts</w:t>
      </w:r>
      <w:r>
        <w:rPr>
          <w:b/>
          <w:bCs/>
        </w:rPr>
        <w:t xml:space="preserve">:</w:t>
      </w:r>
      <w:r>
        <w:t xml:space="preserve"> </w:t>
      </w:r>
      <w:r>
        <w:t xml:space="preserve">todo array/objeto exposto na UI carrega</w:t>
      </w:r>
      <w:r>
        <w:t xml:space="preserve"> </w:t>
      </w:r>
      <w:r>
        <w:rPr>
          <w:rStyle w:val="VerbatimChar"/>
        </w:rPr>
        <w:t xml:space="preserve">label_en</w:t>
      </w:r>
      <w:r>
        <w:t xml:space="preserve">/</w:t>
      </w:r>
      <w:r>
        <w:rPr>
          <w:rStyle w:val="VerbatimChar"/>
        </w:rPr>
        <w:t xml:space="preserve">name_en</w:t>
      </w:r>
      <w:r>
        <w:t xml:space="preserve"> </w:t>
      </w:r>
      <w:r>
        <w:t xml:space="preserve">ao lado.</w:t>
      </w:r>
    </w:p>
    <w:bookmarkEnd w:id="19"/>
    <w:bookmarkStart w:id="20" w:name="cache-busting"/>
    <w:p>
      <w:pPr>
        <w:pStyle w:val="Heading2"/>
      </w:pPr>
      <w:r>
        <w:t xml:space="preserve">3.2 Cache-busting</w:t>
      </w:r>
    </w:p>
    <w:p>
      <w:pPr>
        <w:pStyle w:val="FirstParagraph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src/i18n.ts</w:t>
      </w:r>
      <w:r>
        <w:t xml:space="preserve"> </w:t>
      </w:r>
      <w:r>
        <w:t xml:space="preserve">mantém</w:t>
      </w:r>
      <w:r>
        <w:t xml:space="preserve"> </w:t>
      </w:r>
      <w:r>
        <w:rPr>
          <w:rStyle w:val="VerbatimChar"/>
        </w:rPr>
        <w:t xml:space="preserve">I18N_VERSION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DEVE</w:t>
      </w:r>
      <w:r>
        <w:t xml:space="preserve"> </w:t>
      </w:r>
      <w:r>
        <w:t xml:space="preserve">ser incrementado a qualquer mudança em</w:t>
      </w:r>
      <w:r>
        <w:t xml:space="preserve"> </w:t>
      </w:r>
      <w:r>
        <w:rPr>
          <w:rStyle w:val="VerbatimChar"/>
        </w:rPr>
        <w:t xml:space="preserve">translation.json</w:t>
      </w:r>
      <w:r>
        <w:t xml:space="preserve">. A constante é gravada em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e força o reload de traduções quando muda — sem ela o browser serve traduções obsoletas.</w:t>
      </w:r>
    </w:p>
    <w:bookmarkEnd w:id="20"/>
    <w:bookmarkStart w:id="21" w:name="auditor"/>
    <w:p>
      <w:pPr>
        <w:pStyle w:val="Heading2"/>
      </w:pPr>
      <w:r>
        <w:t xml:space="preserve">3.3 Auditor</w:t>
      </w:r>
    </w:p>
    <w:p>
      <w:pPr>
        <w:pStyle w:val="FirstParagraph"/>
      </w:pPr>
      <w:r>
        <w:t xml:space="preserve">A edge function</w:t>
      </w:r>
      <w:r>
        <w:t xml:space="preserve"> </w:t>
      </w:r>
      <w:r>
        <w:rPr>
          <w:rStyle w:val="VerbatimChar"/>
        </w:rPr>
        <w:t xml:space="preserve">run-translation-audit</w:t>
      </w:r>
      <w:r>
        <w:t xml:space="preserve"> </w:t>
      </w:r>
      <w:r>
        <w:t xml:space="preserve">percorre as 3 camadas e gera</w:t>
      </w:r>
      <w:r>
        <w:t xml:space="preserve"> </w:t>
      </w:r>
      <w:r>
        <w:rPr>
          <w:rStyle w:val="VerbatimChar"/>
        </w:rPr>
        <w:t xml:space="preserve">public/translation-audit-report.json</w:t>
      </w:r>
      <w:r>
        <w:t xml:space="preserve"> </w:t>
      </w:r>
      <w:r>
        <w:t xml:space="preserve">com chaves faltantes, traduções defasadas e duplicatas. Executado a cada release.</w:t>
      </w:r>
    </w:p>
    <w:bookmarkEnd w:id="21"/>
    <w:bookmarkStart w:id="22" w:name="hook-uselocalizedfield"/>
    <w:p>
      <w:pPr>
        <w:pStyle w:val="Heading2"/>
      </w:pPr>
      <w:r>
        <w:t xml:space="preserve">3.4 Hook</w:t>
      </w:r>
      <w:r>
        <w:t xml:space="preserve"> </w:t>
      </w:r>
      <w:r>
        <w:rPr>
          <w:rStyle w:val="VerbatimChar"/>
        </w:rPr>
        <w:t xml:space="preserve">useLocalizedField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display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useLocalizedField</w:t>
      </w:r>
      <w:r>
        <w:rPr>
          <w:rStyle w:val="NormalTok"/>
        </w:rPr>
        <w:t xml:space="preserve">(condition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→ name ou name_en conforme i18n.language</w:t>
      </w:r>
    </w:p>
    <w:p>
      <w:pPr>
        <w:pStyle w:val="FirstParagraph"/>
      </w:pPr>
      <w:r>
        <w:t xml:space="preserve">Fallback automático para PT quando EN está vazio.</w:t>
      </w:r>
    </w:p>
    <w:bookmarkEnd w:id="22"/>
    <w:bookmarkEnd w:id="23"/>
    <w:bookmarkStart w:id="26" w:name="motor-de-recomendação-híbrida"/>
    <w:p>
      <w:pPr>
        <w:pStyle w:val="Heading1"/>
      </w:pPr>
      <w:r>
        <w:t xml:space="preserve">4. Motor de Recomendação Híbrida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Recomendação híbrida</w:t>
            </w:r>
          </w:p>
        </w:tc>
      </w:tr>
    </w:tbl>
    <w:p>
      <w:pPr>
        <w:pStyle w:val="ImageCaption"/>
      </w:pPr>
      <w:r>
        <w:t xml:space="preserve">Recomendação híbrida</w:t>
      </w:r>
    </w:p>
    <w:bookmarkStart w:id="24" w:name="fluxo"/>
    <w:p>
      <w:pPr>
        <w:pStyle w:val="Heading2"/>
      </w:pPr>
      <w:r>
        <w:t xml:space="preserve">4.1 Fluxo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Contexto do pet</w:t>
      </w:r>
      <w:r>
        <w:t xml:space="preserve"> </w:t>
      </w:r>
      <w:r>
        <w:t xml:space="preserve">é montado a partir de</w:t>
      </w:r>
      <w:r>
        <w:t xml:space="preserve"> </w:t>
      </w:r>
      <w:r>
        <w:rPr>
          <w:rStyle w:val="VerbatimChar"/>
        </w:rPr>
        <w:t xml:space="preserve">pet_profiles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pet_conditions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pet_exams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pet_medications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Query Cypher</w:t>
      </w:r>
      <w:r>
        <w:t xml:space="preserve"> </w:t>
      </w:r>
      <w:r>
        <w:t xml:space="preserve">percorre o KG:</w:t>
      </w:r>
      <w:r>
        <w:t xml:space="preserve"> </w:t>
      </w:r>
      <w:r>
        <w:rPr>
          <w:rStyle w:val="VerbatimChar"/>
        </w:rPr>
        <w:t xml:space="preserve">condition → mechanism → compound</w:t>
      </w:r>
      <w:r>
        <w:t xml:space="preserve">, deduplicando arestas por confidence.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Filtros clínicos</w:t>
      </w:r>
      <w:r>
        <w:t xml:space="preserve"> </w:t>
      </w:r>
      <w:r>
        <w:t xml:space="preserve">removem candidatos com contraindicação por idade, breed-risk ativo, ou interação com medicação corrente.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Ranking</w:t>
      </w:r>
      <w:r>
        <w:t xml:space="preserve"> </w:t>
      </w:r>
      <w:r>
        <w:t xml:space="preserve">combina</w:t>
      </w:r>
      <w:r>
        <w:t xml:space="preserve"> </w:t>
      </w:r>
      <w:r>
        <w:rPr>
          <w:rStyle w:val="VerbatimChar"/>
        </w:rPr>
        <w:t xml:space="preserve">evidence_level × intensity × confidence × sinergia</w:t>
      </w:r>
      <w:r>
        <w:t xml:space="preserve"> </w:t>
      </w:r>
      <w:r>
        <w:t xml:space="preserve">(peso 0.3/0.2/0.2/0.3).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 de 8</w:t>
      </w:r>
      <w:r>
        <w:t xml:space="preserve"> </w:t>
      </w:r>
      <w:r>
        <w:t xml:space="preserve">compostos — limite operacional de adesão (tutor não toma mais que 8).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Deduplicação alfanumérica</w:t>
      </w:r>
      <w:r>
        <w:t xml:space="preserve"> </w:t>
      </w:r>
      <w:r>
        <w:t xml:space="preserve">evita duplicatas como</w:t>
      </w:r>
      <w:r>
        <w:t xml:space="preserve"> </w:t>
      </w:r>
      <w:r>
        <w:t xml:space="preserve">“NMN”</w:t>
      </w:r>
      <w:r>
        <w:t xml:space="preserve"> </w:t>
      </w:r>
      <w:r>
        <w:t xml:space="preserve">vs</w:t>
      </w:r>
      <w:r>
        <w:t xml:space="preserve"> </w:t>
      </w:r>
      <w:r>
        <w:t xml:space="preserve">“Nicotinamide Mononucleotide”</w:t>
      </w:r>
      <w:r>
        <w:t xml:space="preserve">.</w:t>
      </w:r>
    </w:p>
    <w:bookmarkEnd w:id="24"/>
    <w:bookmarkStart w:id="25" w:name="transparência"/>
    <w:p>
      <w:pPr>
        <w:pStyle w:val="Heading2"/>
      </w:pPr>
      <w:r>
        <w:t xml:space="preserve">4.2 Transparência</w:t>
      </w:r>
    </w:p>
    <w:p>
      <w:pPr>
        <w:pStyle w:val="FirstParagraph"/>
      </w:pPr>
      <w:r>
        <w:t xml:space="preserve">Stacks sem suporte direto do KG (apenas inferência LLM) recebem badge</w:t>
      </w:r>
      <w:r>
        <w:t xml:space="preserve"> </w:t>
      </w:r>
      <w:r>
        <w:rPr>
          <w:b/>
          <w:bCs/>
        </w:rPr>
        <w:t xml:space="preserve">“sem evidência direta”</w:t>
      </w:r>
      <w:r>
        <w:t xml:space="preserve">. O vet pode</w:t>
      </w:r>
      <w:r>
        <w:t xml:space="preserve"> </w:t>
      </w:r>
      <w:r>
        <w:rPr>
          <w:b/>
          <w:bCs/>
        </w:rPr>
        <w:t xml:space="preserve">aceitar · modificar · rejeitar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vet-recommendation-stack-management</w:t>
      </w:r>
      <w:r>
        <w:t xml:space="preserve">. Toda alteração registra</w:t>
      </w:r>
      <w:r>
        <w:t xml:space="preserve"> </w:t>
      </w:r>
      <w:r>
        <w:rPr>
          <w:rStyle w:val="VerbatimChar"/>
        </w:rPr>
        <w:t xml:space="preserve">vet_reviewed_by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vet_reviewed_at</w:t>
      </w:r>
      <w:r>
        <w:t xml:space="preserve">.</w:t>
      </w:r>
    </w:p>
    <w:bookmarkEnd w:id="25"/>
    <w:bookmarkEnd w:id="26"/>
    <w:bookmarkStart w:id="30" w:name="digital-twin-de-longevidade"/>
    <w:p>
      <w:pPr>
        <w:pStyle w:val="Heading1"/>
      </w:pPr>
      <w:r>
        <w:t xml:space="preserve">5. Digital Twin de Longevidade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Digital Twin Gompertz</w:t>
            </w:r>
          </w:p>
        </w:tc>
      </w:tr>
    </w:tbl>
    <w:p>
      <w:pPr>
        <w:pStyle w:val="ImageCaption"/>
      </w:pPr>
      <w:r>
        <w:t xml:space="preserve">Digital Twin Gompertz</w:t>
      </w:r>
    </w:p>
    <w:bookmarkStart w:id="27" w:name="modelo"/>
    <w:p>
      <w:pPr>
        <w:pStyle w:val="Heading2"/>
      </w:pPr>
      <w:r>
        <w:t xml:space="preserve">5.1 Modelo</w:t>
      </w:r>
    </w:p>
    <w:p>
      <w:pPr>
        <w:pStyle w:val="FirstParagraph"/>
      </w:pPr>
      <w:r>
        <w:t xml:space="preserve">S(t) = exp(−a·exp(−b·t))</w:t>
      </w:r>
    </w:p>
    <w:p>
      <w:pPr>
        <w:pStyle w:val="BodyText"/>
      </w:pPr>
      <w:r>
        <w:t xml:space="preserve">onde</w:t>
      </w:r>
      <w:r>
        <w:t xml:space="preserve"> </w:t>
      </w:r>
      <w:r>
        <w:rPr>
          <w:rStyle w:val="VerbatimChar"/>
        </w:rPr>
        <w:t xml:space="preserve">a, b</w:t>
      </w:r>
      <w:r>
        <w:t xml:space="preserve"> </w:t>
      </w:r>
      <w:r>
        <w:t xml:space="preserve">são parâmetros por raça calibrados em literatura veterinária pública. A intervenção (stack geroprotector) atua</w:t>
      </w:r>
      <w:r>
        <w:t xml:space="preserve"> </w:t>
      </w:r>
      <w:r>
        <w:rPr>
          <w:b/>
          <w:bCs/>
        </w:rPr>
        <w:t xml:space="preserve">reduzindo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</w:t>
      </w:r>
      <w:r>
        <w:t xml:space="preserve"> </w:t>
      </w:r>
      <w:r>
        <w:t xml:space="preserve">(taxa de envelhecimento) em função do</w:t>
      </w:r>
      <w:r>
        <w:t xml:space="preserve"> </w:t>
      </w:r>
      <w:r>
        <w:rPr>
          <w:rStyle w:val="VerbatimChar"/>
        </w:rPr>
        <w:t xml:space="preserve">years_gained_proxy</w:t>
      </w:r>
      <w:r>
        <w:t xml:space="preserve"> </w:t>
      </w:r>
      <w:r>
        <w:t xml:space="preserve">agregado das arestas usadas.</w:t>
      </w:r>
    </w:p>
    <w:bookmarkEnd w:id="27"/>
    <w:bookmarkStart w:id="28" w:name="output-clínico"/>
    <w:p>
      <w:pPr>
        <w:pStyle w:val="Heading2"/>
      </w:pPr>
      <w:r>
        <w:t xml:space="preserve">5.2 Output clínico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Mediana de vida baseline vs com stack</w:t>
      </w:r>
      <w:r>
        <w:t xml:space="preserve"> </w:t>
      </w:r>
      <w:r>
        <w:t xml:space="preserve">(curva visualizada acima)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years_gained</w:t>
      </w:r>
      <w:r>
        <w:rPr>
          <w:b/>
          <w:bCs/>
        </w:rPr>
        <w:t xml:space="preserve"> </w:t>
      </w:r>
      <w:r>
        <w:rPr>
          <w:b/>
          <w:bCs/>
        </w:rPr>
        <w:t xml:space="preserve">esperado</w:t>
      </w:r>
      <w:r>
        <w:t xml:space="preserve"> </w:t>
      </w:r>
      <w:r>
        <w:t xml:space="preserve">(intervalo de confiança 80%)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Custo evitado projetado</w:t>
      </w:r>
      <w:r>
        <w:t xml:space="preserve"> </w:t>
      </w:r>
      <w:r>
        <w:t xml:space="preserve">(BRL, baseado em literatura de doenças prevenidas)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Sigmóide de outcome</w:t>
      </w:r>
      <w:r>
        <w:t xml:space="preserve"> </w:t>
      </w:r>
      <w:r>
        <w:t xml:space="preserve">por condição (</w:t>
      </w:r>
      <w:r>
        <w:rPr>
          <w:rStyle w:val="VerbatimChar"/>
        </w:rPr>
        <w:t xml:space="preserve">Evidence Projection Engine</w:t>
      </w:r>
      <w:r>
        <w:t xml:space="preserve">)</w:t>
      </w:r>
    </w:p>
    <w:bookmarkEnd w:id="28"/>
    <w:bookmarkStart w:id="29" w:name="trigger-para-gap-fill"/>
    <w:p>
      <w:pPr>
        <w:pStyle w:val="Heading2"/>
      </w:pPr>
      <w:r>
        <w:t xml:space="preserve">5.3 Trigger para gap-fill</w:t>
      </w:r>
    </w:p>
    <w:p>
      <w:pPr>
        <w:pStyle w:val="FirstParagraph"/>
      </w:pPr>
      <w:r>
        <w:t xml:space="preserve">Quando</w:t>
      </w:r>
      <w:r>
        <w:t xml:space="preserve"> </w:t>
      </w:r>
      <w:r>
        <w:rPr>
          <w:rStyle w:val="VerbatimChar"/>
        </w:rPr>
        <w:t xml:space="preserve">years_gained &lt; threshold</w:t>
      </w:r>
      <w:r>
        <w:t xml:space="preserve"> </w:t>
      </w:r>
      <w:r>
        <w:t xml:space="preserve">(padrão 0.3), o sistema dispara o pipeline de gap-fill da seção 6.</w:t>
      </w:r>
    </w:p>
    <w:bookmarkEnd w:id="29"/>
    <w:bookmarkEnd w:id="30"/>
    <w:bookmarkStart w:id="33" w:name="gap-fill-pubmed-gemini"/>
    <w:p>
      <w:pPr>
        <w:pStyle w:val="Heading1"/>
      </w:pPr>
      <w:r>
        <w:t xml:space="preserve">6. Gap-Fill PubMed + Gemini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Gap-fill pipeline</w:t>
            </w:r>
          </w:p>
        </w:tc>
      </w:tr>
    </w:tbl>
    <w:p>
      <w:pPr>
        <w:pStyle w:val="ImageCaption"/>
      </w:pPr>
      <w:r>
        <w:t xml:space="preserve">Gap-fill pipeline</w:t>
      </w:r>
    </w:p>
    <w:bookmarkStart w:id="31" w:name="quando"/>
    <w:p>
      <w:pPr>
        <w:pStyle w:val="Heading2"/>
      </w:pPr>
      <w:r>
        <w:t xml:space="preserve">6.1 Quando</w:t>
      </w:r>
    </w:p>
    <w:p>
      <w:pPr>
        <w:pStyle w:val="FirstParagraph"/>
      </w:pPr>
      <w:r>
        <w:t xml:space="preserve">Sempre que o Digital Twin retorna</w:t>
      </w:r>
      <w:r>
        <w:t xml:space="preserve"> </w:t>
      </w:r>
      <w:r>
        <w:rPr>
          <w:rStyle w:val="VerbatimChar"/>
        </w:rPr>
        <w:t xml:space="preserve">years_gained_proxy</w:t>
      </w:r>
      <w:r>
        <w:t xml:space="preserve"> </w:t>
      </w:r>
      <w:r>
        <w:t xml:space="preserve">baixo para uma combinação</w:t>
      </w:r>
      <w:r>
        <w:t xml:space="preserve"> </w:t>
      </w:r>
      <w:r>
        <w:rPr>
          <w:rStyle w:val="VerbatimChar"/>
        </w:rPr>
        <w:t xml:space="preserve">(composto × condição)</w:t>
      </w:r>
      <w:r>
        <w:t xml:space="preserve"> </w:t>
      </w:r>
      <w:r>
        <w:t xml:space="preserve">que tem pares parecidos cobertos no KG → existe um buraco na ontologia.</w:t>
      </w:r>
    </w:p>
    <w:bookmarkEnd w:id="31"/>
    <w:bookmarkStart w:id="32" w:name="como"/>
    <w:p>
      <w:pPr>
        <w:pStyle w:val="Heading2"/>
      </w:pPr>
      <w:r>
        <w:t xml:space="preserve">6.2 Como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kg-missing-triplets</w:t>
      </w:r>
      <w:r>
        <w:t xml:space="preserve"> </w:t>
      </w:r>
      <w:r>
        <w:t xml:space="preserve">enumera os pares faltantes priorizando alta prevalência clínica.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pubmed-esearch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pubmed-efetch</w:t>
      </w:r>
      <w:r>
        <w:t xml:space="preserve"> </w:t>
      </w:r>
      <w:r>
        <w:t xml:space="preserve">(E-utilities) trazem abstracts.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gemini-structure-pubmed</w:t>
      </w:r>
      <w:r>
        <w:t xml:space="preserve"> </w:t>
      </w:r>
      <w:r>
        <w:t xml:space="preserve">extrai triplet provisional com</w:t>
      </w:r>
      <w:r>
        <w:t xml:space="preserve"> </w:t>
      </w:r>
      <w:r>
        <w:rPr>
          <w:rStyle w:val="VerbatimChar"/>
        </w:rPr>
        <w:t xml:space="preserve">source_excerpt</w:t>
      </w:r>
      <w:r>
        <w:t xml:space="preserve"> </w:t>
      </w:r>
      <w:r>
        <w:t xml:space="preserve">+ DOI.</w:t>
      </w:r>
    </w:p>
    <w:p>
      <w:pPr>
        <w:pStyle w:val="Compact"/>
        <w:numPr>
          <w:ilvl w:val="0"/>
          <w:numId w:val="1007"/>
        </w:numPr>
      </w:pPr>
      <w:r>
        <w:t xml:space="preserve">Inserido em</w:t>
      </w:r>
      <w:r>
        <w:t xml:space="preserve"> </w:t>
      </w:r>
      <w:r>
        <w:rPr>
          <w:rStyle w:val="VerbatimChar"/>
        </w:rPr>
        <w:t xml:space="preserve">triplet_extractions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provisional=true</w:t>
      </w:r>
      <w:r>
        <w:t xml:space="preserve"> </w:t>
      </w:r>
      <w:r>
        <w:t xml:space="preserve">→ renderizado</w:t>
      </w:r>
      <w:r>
        <w:t xml:space="preserve"> </w:t>
      </w:r>
      <w:r>
        <w:rPr>
          <w:b/>
          <w:bCs/>
        </w:rPr>
        <w:t xml:space="preserve">tracejado</w:t>
      </w:r>
      <w:r>
        <w:t xml:space="preserve"> </w:t>
      </w:r>
      <w:r>
        <w:t xml:space="preserve">no KG até curador humano aprovar.</w:t>
      </w:r>
    </w:p>
    <w:bookmarkEnd w:id="32"/>
    <w:bookmarkEnd w:id="33"/>
    <w:bookmarkStart w:id="34" w:name="Xcb6527c2d6461c7daab270cca33025b05fe64aa"/>
    <w:p>
      <w:pPr>
        <w:pStyle w:val="Heading1"/>
      </w:pPr>
      <w:r>
        <w:t xml:space="preserve">7. Taxonomia Padronizada — SNOMED-CT VetSCT + UMLS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SNOMED-CT VetSCT</w:t>
      </w:r>
      <w:r>
        <w:t xml:space="preserve"> </w:t>
      </w:r>
      <w:r>
        <w:t xml:space="preserve">governa nomes canônicos de condições (</w:t>
      </w:r>
      <w:r>
        <w:rPr>
          <w:rStyle w:val="VerbatimChar"/>
        </w:rPr>
        <w:t xml:space="preserve">Osteoarthritis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Chronic Kidney Disease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UMLS</w:t>
      </w:r>
      <w:r>
        <w:t xml:space="preserve"> </w:t>
      </w:r>
      <w:r>
        <w:t xml:space="preserve">governa pathways (</w:t>
      </w:r>
      <w:r>
        <w:rPr>
          <w:rStyle w:val="VerbatimChar"/>
        </w:rPr>
        <w:t xml:space="preserve">NF-κB signaling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mTOR pathway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biomedical-taxonomy.ts</w:t>
      </w:r>
      <w:r>
        <w:t xml:space="preserve"> </w:t>
      </w:r>
      <w:r>
        <w:t xml:space="preserve">mantém o dicionário local + regex de classificação multi-tier.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Reclassificação durante sync</w:t>
      </w:r>
      <w:r>
        <w:t xml:space="preserve"> </w:t>
      </w:r>
      <w:r>
        <w:t xml:space="preserve">ao Neo4j corrige erros de modelo e impõe snake_case.</w:t>
      </w:r>
    </w:p>
    <w:bookmarkEnd w:id="34"/>
    <w:bookmarkStart w:id="35" w:name="conformidade-regulatória"/>
    <w:p>
      <w:pPr>
        <w:pStyle w:val="Heading1"/>
      </w:pPr>
      <w:r>
        <w:t xml:space="preserve">8. Conformidade Regulatória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Matriz de conformidade</w:t>
            </w:r>
          </w:p>
        </w:tc>
      </w:tr>
    </w:tbl>
    <w:p>
      <w:pPr>
        <w:pStyle w:val="ImageCaption"/>
      </w:pPr>
      <w:r>
        <w:t xml:space="preserve">Matriz de conformidade</w:t>
      </w:r>
    </w:p>
    <w:p>
      <w:pPr>
        <w:pStyle w:val="BodyText"/>
      </w:pPr>
      <w:r>
        <w:t xml:space="preserve">Auto-avaliação contra os 3 marcos regulatórios mais relevantes (FDA-CVM, EMA-CVMP, AVMA). Nenhum dos itens é apenas declaratório — todos têm artefato auditável (tabela, função, log).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Implementação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Rastreabilidade de dose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pet_medications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dosage-resolver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Evidência científica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scientific_studies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triplet_extractions.source_excerpt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Contraindicações claras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nutraceutical_conditions.contraindication_*</w:t>
            </w:r>
            <w:r>
              <w:t xml:space="preserve"> </w:t>
            </w:r>
            <w:r>
              <w:t xml:space="preserve">+ filtros de ranking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 por recomendação</w:t>
            </w:r>
          </w:p>
        </w:tc>
        <w:tc>
          <w:tcPr/>
          <w:p>
            <w:pPr>
              <w:pStyle w:val="Compact"/>
            </w:pPr>
            <w:r>
              <w:t xml:space="preserve">toda aresta usada em recomendação carrega</w:t>
            </w:r>
            <w:r>
              <w:t xml:space="preserve"> </w:t>
            </w:r>
            <w:r>
              <w:rPr>
                <w:rStyle w:val="VerbatimChar"/>
              </w:rPr>
              <w:t xml:space="preserve">source_triplet_id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imutável</w:t>
            </w:r>
          </w:p>
        </w:tc>
        <w:tc>
          <w:tcPr/>
          <w:p>
            <w:pPr>
              <w:pStyle w:val="Compact"/>
            </w:pPr>
            <w:r>
              <w:t xml:space="preserve">soft-delete +</w:t>
            </w:r>
            <w:r>
              <w:t xml:space="preserve"> </w:t>
            </w:r>
            <w:r>
              <w:rPr>
                <w:rStyle w:val="VerbatimChar"/>
              </w:rPr>
              <w:t xml:space="preserve">audit_requests</w:t>
            </w:r>
            <w:r>
              <w:t xml:space="preserve">/</w:t>
            </w:r>
            <w:r>
              <w:rPr>
                <w:rStyle w:val="VerbatimChar"/>
              </w:rPr>
              <w:t xml:space="preserve">technical_audits</w:t>
            </w:r>
          </w:p>
        </w:tc>
      </w:tr>
    </w:tbl>
    <w:p>
      <w:pPr>
        <w:pStyle w:val="BodyText"/>
      </w:pPr>
      <w:r>
        <w:rPr>
          <w:b/>
          <w:bCs/>
        </w:rPr>
        <w:t xml:space="preserve">Gap conhecido:</w:t>
      </w:r>
      <w:r>
        <w:t xml:space="preserve"> </w:t>
      </w:r>
      <w:r>
        <w:t xml:space="preserve">“Audit log imutável”</w:t>
      </w:r>
      <w:r>
        <w:t xml:space="preserve"> </w:t>
      </w:r>
      <w:r>
        <w:t xml:space="preserve">está em 65–75% — falta append-only enforcement em DB-level (atualmente é convenção aplicacional).</w:t>
      </w:r>
    </w:p>
    <w:bookmarkEnd w:id="35"/>
    <w:bookmarkStart w:id="36" w:name="forças-18"/>
    <w:p>
      <w:pPr>
        <w:pStyle w:val="Heading1"/>
      </w:pPr>
      <w:r>
        <w:t xml:space="preserve">9. Forças (18)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Pipeline determinístico de 7 estágios</w:t>
      </w:r>
      <w:r>
        <w:t xml:space="preserve"> </w:t>
      </w:r>
      <w:r>
        <w:t xml:space="preserve">com responsabilidade única por edge function.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Gatekeeper de curadoria</w:t>
      </w:r>
      <w:r>
        <w:t xml:space="preserve"> </w:t>
      </w:r>
      <w:r>
        <w:t xml:space="preserve">— invariante que impede triplets &lt;0.50 de chegarem ao KG público.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Modelo de 5 camadas causais</w:t>
      </w:r>
      <w:r>
        <w:t xml:space="preserve"> </w:t>
      </w:r>
      <w:r>
        <w:t xml:space="preserve">— base da explicabilidade clínica.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245 políticas RLS ativas</w:t>
      </w:r>
      <w:r>
        <w:t xml:space="preserve"> </w:t>
      </w:r>
      <w:r>
        <w:t xml:space="preserve">cobrindo 93 tabelas.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has_role()</w:t>
      </w:r>
      <w:r>
        <w:rPr>
          <w:b/>
          <w:bCs/>
        </w:rPr>
        <w:t xml:space="preserve"> </w:t>
      </w:r>
      <w:r>
        <w:rPr>
          <w:b/>
          <w:bCs/>
        </w:rPr>
        <w:t xml:space="preserve">SECURITY DEFINER</w:t>
      </w:r>
      <w:r>
        <w:t xml:space="preserve"> </w:t>
      </w:r>
      <w:r>
        <w:t xml:space="preserve">evita loops recursivos de RLS.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GRANT explícito</w:t>
      </w:r>
      <w:r>
        <w:t xml:space="preserve"> </w:t>
      </w:r>
      <w:r>
        <w:t xml:space="preserve">em toda migration que cria tabela — invariante documentado.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Sistema bilingue em 3 camadas</w:t>
      </w:r>
      <w:r>
        <w:t xml:space="preserve"> </w:t>
      </w:r>
      <w:r>
        <w:t xml:space="preserve">(UI · DB · estática) com auditor automático.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Cache-busting i18n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I18N_VERSION</w:t>
      </w:r>
      <w:r>
        <w:t xml:space="preserve"> </w:t>
      </w:r>
      <w:r>
        <w:t xml:space="preserve">incrementável.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Cap de 8 compostos</w:t>
      </w:r>
      <w:r>
        <w:t xml:space="preserve"> </w:t>
      </w:r>
      <w:r>
        <w:t xml:space="preserve">alinhado à literatura de adesão.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Digital Twin Gompertz por raça</w:t>
      </w:r>
      <w:r>
        <w:t xml:space="preserve"> </w:t>
      </w:r>
      <w:r>
        <w:t xml:space="preserve">— projeção quantitativa, não narrativa.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Gap-fill PubMed automático</w:t>
      </w:r>
      <w:r>
        <w:t xml:space="preserve"> </w:t>
      </w:r>
      <w:r>
        <w:t xml:space="preserve">com aresta provisional + tracejado visual.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Vet-curator dialog</w:t>
      </w:r>
      <w:r>
        <w:t xml:space="preserve"> </w:t>
      </w:r>
      <w:r>
        <w:t xml:space="preserve">com evidência computada em tempo real (sem LLM no path crítico).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SNOMED-CT VetSCT + UMLS</w:t>
      </w:r>
      <w:r>
        <w:t xml:space="preserve"> </w:t>
      </w:r>
      <w:r>
        <w:t xml:space="preserve">como ontologias canônicas.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Pet sintéticos (660 em 11 cohorts)</w:t>
      </w:r>
      <w:r>
        <w:t xml:space="preserve"> </w:t>
      </w:r>
      <w:r>
        <w:t xml:space="preserve">ordenados por complexidade crescente.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No-mock policy</w:t>
      </w:r>
      <w:r>
        <w:t xml:space="preserve"> </w:t>
      </w:r>
      <w:r>
        <w:t xml:space="preserve">— dados clínicos sempre rotulados pela origem (DB, LLM, regra).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Soft delete + safeguard</w:t>
      </w:r>
      <w:r>
        <w:rPr>
          <w:b/>
          <w:bCs/>
        </w:rPr>
        <w:t xml:space="preserve"> </w:t>
      </w:r>
      <w:r>
        <w:rPr>
          <w:b/>
          <w:bCs/>
        </w:rPr>
        <w:t xml:space="preserve">“DELETE”</w:t>
      </w:r>
      <w:r>
        <w:t xml:space="preserve"> </w:t>
      </w:r>
      <w:r>
        <w:t xml:space="preserve">para deleção em massa de estudos aprovados.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Predicate mapping</w:t>
      </w:r>
      <w:r>
        <w:t xml:space="preserve"> </w:t>
      </w:r>
      <w:r>
        <w:t xml:space="preserve">normaliza variantes LLM antes da validação.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38.643 arestas hierárquicas</w:t>
      </w:r>
      <w:r>
        <w:t xml:space="preserve"> </w:t>
      </w:r>
      <w:r>
        <w:t xml:space="preserve">com provenance completa (estudo + chunk).</w:t>
      </w:r>
    </w:p>
    <w:bookmarkEnd w:id="36"/>
    <w:bookmarkStart w:id="37" w:name="gaps-12"/>
    <w:p>
      <w:pPr>
        <w:pStyle w:val="Heading1"/>
      </w:pPr>
      <w:r>
        <w:t xml:space="preserve">10. Gaps (12)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Plano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Audit log não é append-only em DB-level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  <w:r>
              <w:t xml:space="preserve"> </w:t>
            </w:r>
            <w:r>
              <w:rPr>
                <w:rStyle w:val="VerbatimChar"/>
              </w:rPr>
              <w:t xml:space="preserve">BEFORE UPDATE/DELETE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audit_requests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confidence_rationale</w:t>
            </w:r>
            <w:r>
              <w:t xml:space="preserve"> </w:t>
            </w:r>
            <w:r>
              <w:t xml:space="preserve">opcional em triplets antigos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Backfill via</w:t>
            </w:r>
            <w:r>
              <w:t xml:space="preserve"> </w:t>
            </w:r>
            <w:r>
              <w:rPr>
                <w:rStyle w:val="VerbatimChar"/>
              </w:rPr>
              <w:t xml:space="preserve">enrich-triplet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years_gained_proxy</w:t>
            </w:r>
            <w:r>
              <w:t xml:space="preserve"> </w:t>
            </w:r>
            <w:r>
              <w:t xml:space="preserve">ausente em ~12% das arestas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Backfill com Gemini estruturado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UI vet-curator não exibe diff entre revisões de triplet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Componente</w:t>
            </w:r>
            <w:r>
              <w:t xml:space="preserve"> </w:t>
            </w:r>
            <w:r>
              <w:rPr>
                <w:rStyle w:val="VerbatimChar"/>
              </w:rPr>
              <w:t xml:space="preserve">TripletRevisionDiff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Métricas de adesão (</w:t>
            </w:r>
            <w:r>
              <w:rPr>
                <w:rStyle w:val="VerbatimChar"/>
              </w:rPr>
              <w:t xml:space="preserve">pet_medications</w:t>
            </w:r>
            <w:r>
              <w:t xml:space="preserve">) não alimentam Digital Twin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Loop de feedback longitudinal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</w:t>
            </w:r>
          </w:p>
        </w:tc>
        <w:tc>
          <w:tcPr/>
          <w:p>
            <w:pPr>
              <w:pStyle w:val="Compact"/>
            </w:pPr>
            <w:r>
              <w:t xml:space="preserve">Cohorts sintéticos não têm grupo controle pareado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Gerador de cohort controle (matched-pair)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G7</w:t>
            </w:r>
          </w:p>
        </w:tc>
        <w:tc>
          <w:tcPr/>
          <w:p>
            <w:pPr>
              <w:pStyle w:val="Compact"/>
            </w:pPr>
            <w:r>
              <w:t xml:space="preserve">Sem teste end-to-end automatizado do pipeline 7 estágios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Workflow Playwright sobre fixture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pet_consultations.is_latest</w:t>
            </w:r>
            <w:r>
              <w:t xml:space="preserve"> </w:t>
            </w:r>
            <w:r>
              <w:t xml:space="preserve">depende de trigger — sem fallback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View materializada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G9</w:t>
            </w:r>
          </w:p>
        </w:tc>
        <w:tc>
          <w:tcPr/>
          <w:p>
            <w:pPr>
              <w:pStyle w:val="Compact"/>
            </w:pPr>
            <w:r>
              <w:t xml:space="preserve">Sem RAG semântico no chat clínico (apenas keyword)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Conectar</w:t>
            </w:r>
            <w:r>
              <w:t xml:space="preserve"> </w:t>
            </w:r>
            <w:r>
              <w:rPr>
                <w:rStyle w:val="VerbatimChar"/>
              </w:rPr>
              <w:t xml:space="preserve">search_study_chunks</w:t>
            </w:r>
            <w:r>
              <w:t xml:space="preserve"> </w:t>
            </w:r>
            <w:r>
              <w:t xml:space="preserve">ao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G10</w:t>
            </w:r>
          </w:p>
        </w:tc>
        <w:tc>
          <w:tcPr/>
          <w:p>
            <w:pPr>
              <w:pStyle w:val="Compact"/>
            </w:pPr>
            <w:r>
              <w:t xml:space="preserve">Recomendação não cita o estudo no badge — só no detalhe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Mini-citação 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G11</w:t>
            </w:r>
          </w:p>
        </w:tc>
        <w:tc>
          <w:tcPr/>
          <w:p>
            <w:pPr>
              <w:pStyle w:val="Compact"/>
            </w:pPr>
            <w:r>
              <w:t xml:space="preserve">Translation audit roda manual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Cron Lovable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G12</w:t>
            </w:r>
          </w:p>
        </w:tc>
        <w:tc>
          <w:tcPr/>
          <w:p>
            <w:pPr>
              <w:pStyle w:val="Compact"/>
            </w:pPr>
            <w:r>
              <w:t xml:space="preserve">Sem gating de versão para deploy de edge functions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Tag git + canary</w:t>
            </w:r>
          </w:p>
        </w:tc>
      </w:tr>
    </w:tbl>
    <w:bookmarkEnd w:id="37"/>
    <w:bookmarkStart w:id="38" w:name="riscos-5"/>
    <w:p>
      <w:pPr>
        <w:pStyle w:val="Heading1"/>
      </w:pPr>
      <w:r>
        <w:t xml:space="preserve">11. Riscos (5)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Backlog de triplets &lt;0.50</w:t>
            </w:r>
            <w:r>
              <w:t xml:space="preserve"> </w:t>
            </w:r>
            <w:r>
              <w:t xml:space="preserve">cresce mais rápido que capacidade do curador humano → KG defasa em relação à literatura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Métrica de SLA em dashboard admin + escalonamento para vet-curator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Modelo LLM alucina</w:t>
            </w:r>
            <w:r>
              <w:t xml:space="preserve"> </w:t>
            </w:r>
            <w:r>
              <w:rPr>
                <w:rStyle w:val="VerbatimChar"/>
              </w:rPr>
              <w:t xml:space="preserve">evidence_level=A</w:t>
            </w:r>
            <w:r>
              <w:t xml:space="preserve"> </w:t>
            </w:r>
            <w:r>
              <w:t xml:space="preserve">sem estudo real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source_excerpt</w:t>
            </w:r>
            <w:r>
              <w:t xml:space="preserve"> </w:t>
            </w:r>
            <w:r>
              <w:t xml:space="preserve">obrigatório + matching contra texto do chunk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Sync Neo4j falha silenciosamente em snake_case incompatível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Validação pre-sync + retry com reclassificação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Mudança de schema PubMed quebra</w:t>
            </w:r>
            <w:r>
              <w:t xml:space="preserve"> </w:t>
            </w:r>
            <w:r>
              <w:rPr>
                <w:rStyle w:val="VerbatimChar"/>
              </w:rPr>
              <w:t xml:space="preserve">pubmed-efetch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Adapter versionado + monitor de taxa de erro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Custo do AI Gateway escala com volume de chat clínico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Cache de resposta semântica + downgrade Gemini Flash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RLS permissiva em desenvolvimento sobrevive ao deploy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Linter SQL pre-commit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Tradução EN defasa em relação a PT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Auditor automático + bloqueio de release se delta &gt;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Pet sintético confundido com pet real em queries admin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Sempre filtrar</w:t>
            </w:r>
            <w:r>
              <w:t xml:space="preserve"> </w:t>
            </w:r>
            <w:r>
              <w:rPr>
                <w:rStyle w:val="VerbatimChar"/>
              </w:rPr>
              <w:t xml:space="preserve">is_synthetic</w:t>
            </w:r>
            <w:r>
              <w:t xml:space="preserve"> </w:t>
            </w:r>
            <w:r>
              <w:t xml:space="preserve">em UIs clínicas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Custo de embeddings 3072-dim escala com estudos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Quantização halfvec (já suportada via pgvector)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service_role</w:t>
            </w:r>
            <w:r>
              <w:t xml:space="preserve"> </w:t>
            </w:r>
            <w:r>
              <w:t xml:space="preserve">exposto em log de edge function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Mascaramento em</w:t>
            </w:r>
            <w:r>
              <w:t xml:space="preserve"> </w:t>
            </w:r>
            <w:r>
              <w:rPr>
                <w:rStyle w:val="VerbatimChar"/>
              </w:rPr>
              <w:t xml:space="preserve">console.log</w:t>
            </w:r>
          </w:p>
        </w:tc>
      </w:tr>
    </w:tbl>
    <w:bookmarkEnd w:id="38"/>
    <w:bookmarkStart w:id="43" w:name="apêndices"/>
    <w:p>
      <w:pPr>
        <w:pStyle w:val="Heading1"/>
      </w:pPr>
      <w:r>
        <w:t xml:space="preserve">12. Apêndices</w:t>
      </w:r>
    </w:p>
    <w:bookmarkStart w:id="39" w:name="X1666c63edf09489b396dfbd4fc51befc31b0b15"/>
    <w:p>
      <w:pPr>
        <w:pStyle w:val="Heading2"/>
      </w:pPr>
      <w:r>
        <w:t xml:space="preserve">A.1 Pattern canônico de migration com GRANT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.example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payload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.example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.example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service_role;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.example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"Owner manages"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.example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</w:p>
    <w:bookmarkEnd w:id="39"/>
    <w:bookmarkStart w:id="40" w:name="Xb6d330539f0841650bdb49975e5916331be4960"/>
    <w:p>
      <w:pPr>
        <w:pStyle w:val="Heading2"/>
      </w:pPr>
      <w:r>
        <w:t xml:space="preserve">A.2 Pattern de extração de triplet (Stage 4)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"emit_triplets"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triplets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"subject"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"predicate"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"source_excerpt"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"confidence"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"confidence_rationale"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predicate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"inhibits"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"upregulates"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"modulates"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"contraindicated_with"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"synergizes_with"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"downregulates"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"ameliorates"</w:t>
      </w:r>
      <w:r>
        <w:br/>
      </w:r>
      <w:r>
        <w:rPr>
          <w:rStyle w:val="NormalTok"/>
        </w:rPr>
        <w:t xml:space="preserve">              ]}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source_excerpt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minimum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maximum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confidence_rationale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evidence_level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]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"triplets"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0"/>
    <w:bookmarkStart w:id="41" w:name="a.3-métricas-operacionais-snapshot"/>
    <w:p>
      <w:pPr>
        <w:pStyle w:val="Heading2"/>
      </w:pPr>
      <w:r>
        <w:t xml:space="preserve">A.3 Métricas operacionais (snapshot)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Triplets aprovados / total:</w:t>
      </w:r>
      <w:r>
        <w:t xml:space="preserve"> </w:t>
      </w:r>
      <w:r>
        <w:t xml:space="preserve">3.924 / 4.785 =</w:t>
      </w:r>
      <w:r>
        <w:t xml:space="preserve"> </w:t>
      </w:r>
      <w:r>
        <w:rPr>
          <w:b/>
          <w:bCs/>
        </w:rPr>
        <w:t xml:space="preserve">82,0%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Densidade média do KG:</w:t>
      </w:r>
      <w:r>
        <w:t xml:space="preserve"> </w:t>
      </w:r>
      <w:r>
        <w:t xml:space="preserve">38.643 edges ÷ ~6.000 nodes ≈</w:t>
      </w:r>
      <w:r>
        <w:t xml:space="preserve"> </w:t>
      </w:r>
      <w:r>
        <w:rPr>
          <w:b/>
          <w:bCs/>
        </w:rPr>
        <w:t xml:space="preserve">6,4 edges/node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Cobertura bilingue (auditor):</w:t>
      </w:r>
      <w:r>
        <w:t xml:space="preserve"> </w:t>
      </w:r>
      <w:r>
        <w:t xml:space="preserve">&gt; 95% em UI, &gt; 92% em DB, &gt; 88% em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estático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Latência mediana edge function:</w:t>
      </w:r>
      <w:r>
        <w:t xml:space="preserve"> </w:t>
      </w:r>
      <w:r>
        <w:t xml:space="preserve">&lt; 800 ms (p50), &lt; 2.4 s (p95)</w:t>
      </w:r>
    </w:p>
    <w:bookmarkEnd w:id="41"/>
    <w:bookmarkStart w:id="42" w:name="a.4-convenções-não-negociáveis"/>
    <w:p>
      <w:pPr>
        <w:pStyle w:val="Heading2"/>
      </w:pPr>
      <w:r>
        <w:t xml:space="preserve">A.4 Convenções não-negociáveis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No-mock policy</w:t>
      </w:r>
      <w:r>
        <w:t xml:space="preserve"> </w:t>
      </w:r>
      <w:r>
        <w:t xml:space="preserve">— dados clínicos sempre rotulados pela origem.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Curation gatekeeper</w:t>
      </w:r>
      <w:r>
        <w:t xml:space="preserve"> </w:t>
      </w:r>
      <w:r>
        <w:t xml:space="preserve">— triplets isolados até curador aprovar.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Canonical IDs</w:t>
      </w:r>
      <w:r>
        <w:t xml:space="preserve"> </w:t>
      </w:r>
      <w:r>
        <w:t xml:space="preserve">— sempre UUID do Supabase, nunca</w:t>
      </w:r>
      <w:r>
        <w:t xml:space="preserve"> </w:t>
      </w:r>
      <w:r>
        <w:rPr>
          <w:rStyle w:val="VerbatimChar"/>
        </w:rPr>
        <w:t xml:space="preserve">elementId</w:t>
      </w:r>
      <w:r>
        <w:t xml:space="preserve"> </w:t>
      </w:r>
      <w:r>
        <w:t xml:space="preserve">Neo4j.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Therapeutic cap = 8</w:t>
      </w:r>
      <w:r>
        <w:t xml:space="preserve"> </w:t>
      </w:r>
      <w:r>
        <w:t xml:space="preserve">sinérgicos, deduplicação alfanumérica.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Clinical scope</w:t>
      </w:r>
      <w:r>
        <w:t xml:space="preserve"> </w:t>
      </w:r>
      <w:r>
        <w:t xml:space="preserve">— apenas condições metabólicas/degenerativas em caninos.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Auditoria gerada por agente automatizado — escopo declarado em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audit_requests.id = 76a17331-309f-484d-979c-1941569a22eb</w:t>
      </w:r>
      <w:r>
        <w:rPr>
          <w:i/>
          <w:iCs/>
        </w:rPr>
        <w:t xml:space="preserve">. Marca pública = Senex AI · Operada por PetMoreTime (2025–presente).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Técnica Senex AI v5.1.0</dc:title>
  <dc:creator/>
  <dc:language>pt-BR</dc:language>
  <cp:keywords/>
  <dcterms:created xsi:type="dcterms:W3CDTF">2026-05-31T02:41:42Z</dcterms:created>
  <dcterms:modified xsi:type="dcterms:W3CDTF">2026-05-31T02:41:42Z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2026-05-18</vt:lpwstr>
  </property>
  <property fmtid="{D5CDD505-2E9C-101B-9397-08002B2CF9AE}" pid="3" name="subtitle">
    <vt:lpwstr>Operada por PetMoreTime — sucessor de VetGraphRAG/VetMedGraph</vt:lpwstr>
  </property>
</Properties>
</file>