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Auditoria Técnica Senex AI v5.1.0</w:t>
      </w:r>
    </w:p>
    <w:p>
      <w:pPr>
        <w:pStyle w:val="Subtitle"/>
      </w:pPr>
      <w:r>
        <w:t xml:space="preserve">Operada por PetMoreTime</w:t>
      </w:r>
    </w:p>
    <w:p>
      <w:pPr>
        <w:pStyle w:val="Date"/>
      </w:pPr>
      <w:r>
        <w:t xml:space="preserve">2026-05-18</w:t>
      </w:r>
    </w:p>
    <w:bookmarkStart w:id="10" w:name="resumo-executivo"/>
    <w:p>
      <w:pPr>
        <w:pStyle w:val="Heading1"/>
      </w:pPr>
      <w:r>
        <w:t xml:space="preserve">Resumo Executivo</w:t>
      </w:r>
    </w:p>
    <w:p>
      <w:pPr>
        <w:pStyle w:val="FirstParagraph"/>
      </w:pPr>
      <w:r>
        <w:t xml:space="preserve">Auditoria técnica da plataforma</w:t>
      </w:r>
      <w:r>
        <w:t xml:space="preserve"> </w:t>
      </w:r>
      <w:r>
        <w:rPr>
          <w:b/>
          <w:bCs/>
        </w:rPr>
        <w:t xml:space="preserve">Senex AI</w:t>
      </w:r>
      <w:r>
        <w:t xml:space="preserve"> </w:t>
      </w:r>
      <w:r>
        <w:t xml:space="preserve">(operada por PetMoreTime, sucessora de VetGraphRAG/VetMedGraph) com base no estado do sistema em</w:t>
      </w:r>
      <w:r>
        <w:t xml:space="preserve"> </w:t>
      </w:r>
      <w:r>
        <w:rPr>
          <w:b/>
          <w:bCs/>
        </w:rPr>
        <w:t xml:space="preserve">i18n 1.86.7</w:t>
      </w:r>
      <w:r>
        <w:t xml:space="preserve"> </w:t>
      </w:r>
      <w:r>
        <w:t xml:space="preserve">e changelog de</w:t>
      </w:r>
      <w:r>
        <w:t xml:space="preserve"> </w:t>
      </w:r>
      <w:r>
        <w:rPr>
          <w:b/>
          <w:bCs/>
        </w:rPr>
        <w:t xml:space="preserve">2026-05-18</w:t>
      </w:r>
      <w:r>
        <w:t xml:space="preserve">. Esta versão</w:t>
      </w:r>
      <w:r>
        <w:t xml:space="preserve"> </w:t>
      </w:r>
      <w:r>
        <w:rPr>
          <w:b/>
          <w:bCs/>
        </w:rPr>
        <w:t xml:space="preserve">v5.1.0</w:t>
      </w:r>
      <w:r>
        <w:t xml:space="preserve"> </w:t>
      </w:r>
      <w:r>
        <w:t xml:space="preserve">consolida o pipeline de curadoria de 7 estágios, o Knowledge Graph de 5 camadas (Compostos → Mecanismos → Vias → Condições → Outcomes), o motor de recomendação híbrida com cap de 8 compostos sinérgicos, o Digital Twin Gompertz, e o pipeline de Gap-fill PubMed + Gemini para preenchimento de lacunas (composto × condição).</w:t>
      </w:r>
    </w:p>
    <w:bookmarkStart w:id="9" w:name="indicadores"/>
    <w:p>
      <w:pPr>
        <w:pStyle w:val="Heading2"/>
      </w:pPr>
      <w:r>
        <w:t xml:space="preserve">Indicadores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Lacunas (gaps)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Riscos abertos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CRITICAL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HIGH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MEDIUM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LOW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9"/>
    <w:bookmarkEnd w:id="10"/>
    <w:bookmarkStart w:id="11" w:name="escopo"/>
    <w:p>
      <w:pPr>
        <w:pStyle w:val="Heading1"/>
      </w:pPr>
      <w:r>
        <w:t xml:space="preserve">Escopo</w:t>
      </w:r>
    </w:p>
    <w:p>
      <w:pPr>
        <w:pStyle w:val="FirstParagraph"/>
      </w:pPr>
      <w:r>
        <w:t xml:space="preserve">Pipeline de curadoria 7 estágios · Knowledge Graph 5 camadas · RLS/</w:t>
      </w:r>
      <w:r>
        <w:rPr>
          <w:rStyle w:val="VerbatimChar"/>
        </w:rPr>
        <w:t xml:space="preserve">has_role</w:t>
      </w:r>
      <w:r>
        <w:t xml:space="preserve"> </w:t>
      </w:r>
      <w:r>
        <w:t xml:space="preserve">· Conformidade FDA/EMA/AVMA · Bilíngue PT/EN com cache-bust via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· Recomendação híbrida (cap 8 compostos sinérgicos) · Digital Twin Gompertz · Gap-fill PubMed + Gemini · Taxonomia SNOMED-CT VetSCT + UMLS · Infográficos clínicos.</w:t>
      </w:r>
    </w:p>
    <w:bookmarkEnd w:id="11"/>
    <w:bookmarkStart w:id="12" w:name="pontos-fortes"/>
    <w:p>
      <w:pPr>
        <w:pStyle w:val="Heading1"/>
      </w:pPr>
      <w:r>
        <w:t xml:space="preserve">Pontos Fortes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Pipeline de curadoria de 7 estágios</w:t>
      </w:r>
      <w:r>
        <w:t xml:space="preserve"> </w:t>
      </w:r>
      <w:r>
        <w:t xml:space="preserve">robusto, com deduplicação por SHA-256 do PDF e Levenshtein de título, embeddings de pré-curadoria e auto-aprovação ≥ 50% de confiança.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Graph de 5 camadas</w:t>
      </w:r>
      <w:r>
        <w:t xml:space="preserve"> </w:t>
      </w:r>
      <w:r>
        <w:t xml:space="preserve">com IDs canônicos (UUID Supabase) e notação biomédica padronizada (SNOMED-CT VetSCT / UMLS).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Bilingue PT/EN em todas as camadas</w:t>
      </w:r>
      <w:r>
        <w:t xml:space="preserve"> </w:t>
      </w:r>
      <w:r>
        <w:t xml:space="preserve">(UI</w:t>
      </w:r>
      <w:r>
        <w:t xml:space="preserve"> </w:t>
      </w:r>
      <w:r>
        <w:rPr>
          <w:rStyle w:val="VerbatimChar"/>
        </w:rPr>
        <w:t xml:space="preserve">t()</w:t>
      </w:r>
      <w:r>
        <w:t xml:space="preserve">, DB</w:t>
      </w:r>
      <w:r>
        <w:t xml:space="preserve"> </w:t>
      </w:r>
      <w:r>
        <w:rPr>
          <w:rStyle w:val="VerbatimChar"/>
        </w:rPr>
        <w:t xml:space="preserve">name_en</w:t>
      </w:r>
      <w:r>
        <w:t xml:space="preserve">, dados estáticos</w:t>
      </w:r>
      <w:r>
        <w:t xml:space="preserve"> </w:t>
      </w:r>
      <w:r>
        <w:rPr>
          <w:rStyle w:val="VerbatimChar"/>
        </w:rPr>
        <w:t xml:space="preserve">_en</w:t>
      </w:r>
      <w:r>
        <w:t xml:space="preserve">) com versionamento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para cache-busting.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Governança de RLS</w:t>
      </w:r>
      <w:r>
        <w:t xml:space="preserve"> </w:t>
      </w:r>
      <w:r>
        <w:t xml:space="preserve">baseada em</w:t>
      </w:r>
      <w:r>
        <w:t xml:space="preserve"> </w:t>
      </w:r>
      <w:r>
        <w:rPr>
          <w:rStyle w:val="VerbatimChar"/>
        </w:rPr>
        <w:t xml:space="preserve">has_role()</w:t>
      </w:r>
      <w:r>
        <w:t xml:space="preserve"> </w:t>
      </w:r>
      <w:r>
        <w:t xml:space="preserve">SECURITY DEFINER, tabela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isolada e GRANTs explícitos por papel.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Recomendação híbrida</w:t>
      </w:r>
      <w:r>
        <w:t xml:space="preserve"> </w:t>
      </w:r>
      <w:r>
        <w:t xml:space="preserve">consciente do contexto clínico do pet, cap de 8 compostos sinérgicos, nomenclatura legível e deduplicação alfanumérica.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Digital Twin Gompertz</w:t>
      </w:r>
      <w:r>
        <w:t xml:space="preserve"> </w:t>
      </w:r>
      <w:r>
        <w:t xml:space="preserve">com projeção de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e disparo automático de Gap-fill quando a evidência é insuficiente.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Política No-Mock</w:t>
      </w:r>
      <w:r>
        <w:t xml:space="preserve">: todo dado clínico vem de tabelas reais; saídas LLM-only são rotuladas explicitamente.</w:t>
      </w:r>
    </w:p>
    <w:bookmarkEnd w:id="12"/>
    <w:bookmarkStart w:id="13" w:name="lacunas-gaps"/>
    <w:p>
      <w:pPr>
        <w:pStyle w:val="Heading1"/>
      </w:pPr>
      <w:r>
        <w:t xml:space="preserve">Lacunas (Gaps)</w:t>
      </w:r>
    </w:p>
    <w:p>
      <w:pPr>
        <w:pStyle w:val="Compact"/>
        <w:numPr>
          <w:ilvl w:val="0"/>
          <w:numId w:val="1002"/>
        </w:numPr>
      </w:pPr>
      <w:r>
        <w:t xml:space="preserve">Cobertura incompleta de pares (composto × condição) no KG para condições raras — mitigado parcialmente pelo Gap-fill.</w:t>
      </w:r>
    </w:p>
    <w:p>
      <w:pPr>
        <w:pStyle w:val="Compact"/>
        <w:numPr>
          <w:ilvl w:val="0"/>
          <w:numId w:val="1002"/>
        </w:numPr>
      </w:pPr>
      <w:r>
        <w:t xml:space="preserve">Ausência de export bibliográfico padronizado (BibTeX/RIS) das evidências recomendadas.</w:t>
      </w:r>
    </w:p>
    <w:p>
      <w:pPr>
        <w:pStyle w:val="Compact"/>
        <w:numPr>
          <w:ilvl w:val="0"/>
          <w:numId w:val="1002"/>
        </w:numPr>
      </w:pPr>
      <w:r>
        <w:t xml:space="preserve">Falta de teste de regressão automatizado para o cap de 8 compostos em cenários de polifarmácia extrema.</w:t>
      </w:r>
    </w:p>
    <w:p>
      <w:pPr>
        <w:pStyle w:val="Compact"/>
        <w:numPr>
          <w:ilvl w:val="0"/>
          <w:numId w:val="1002"/>
        </w:numPr>
      </w:pPr>
      <w:r>
        <w:t xml:space="preserve">Sidebar do administrador ainda em refatoração — chave</w:t>
      </w:r>
      <w:r>
        <w:t xml:space="preserve"> </w:t>
      </w:r>
      <w:r>
        <w:rPr>
          <w:rStyle w:val="VerbatimChar"/>
        </w:rPr>
        <w:t xml:space="preserve">admin.sidebar.configuration.usersAndRoles</w:t>
      </w:r>
      <w:r>
        <w:t xml:space="preserve"> </w:t>
      </w:r>
      <w:r>
        <w:t xml:space="preserve">apareceu como missingKey em PT/EN no log de 31/05.</w:t>
      </w:r>
    </w:p>
    <w:p>
      <w:pPr>
        <w:pStyle w:val="Compact"/>
        <w:numPr>
          <w:ilvl w:val="0"/>
          <w:numId w:val="1002"/>
        </w:numPr>
      </w:pPr>
      <w:r>
        <w:t xml:space="preserve">Página</w:t>
      </w:r>
      <w:r>
        <w:t xml:space="preserve"> </w:t>
      </w:r>
      <w:r>
        <w:rPr>
          <w:rStyle w:val="VerbatimChar"/>
        </w:rPr>
        <w:t xml:space="preserve">PriorizacoesTab</w:t>
      </w:r>
      <w:r>
        <w:t xml:space="preserve"> </w:t>
      </w:r>
      <w:r>
        <w:t xml:space="preserve">teve falha transitória de import dinâmico (chunk Vite) sem fallback amigável.</w:t>
      </w:r>
    </w:p>
    <w:p>
      <w:pPr>
        <w:pStyle w:val="Compact"/>
        <w:numPr>
          <w:ilvl w:val="0"/>
          <w:numId w:val="1002"/>
        </w:numPr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project-pet-trajectory</w:t>
      </w:r>
      <w:r>
        <w:t xml:space="preserve"> </w:t>
      </w:r>
      <w:r>
        <w:t xml:space="preserve">retornou</w:t>
      </w:r>
      <w:r>
        <w:t xml:space="preserve"> </w:t>
      </w:r>
      <w:r>
        <w:rPr>
          <w:rStyle w:val="VerbatimChar"/>
        </w:rPr>
        <w:t xml:space="preserve">ai_no_tool_call</w:t>
      </w:r>
      <w:r>
        <w:t xml:space="preserve"> </w:t>
      </w:r>
      <w:r>
        <w:t xml:space="preserve">antes do fix para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 </w:t>
      </w:r>
      <w:r>
        <w:t xml:space="preserve">+ retry com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t xml:space="preserve">forçado.</w:t>
      </w:r>
    </w:p>
    <w:p>
      <w:pPr>
        <w:pStyle w:val="Compact"/>
        <w:numPr>
          <w:ilvl w:val="0"/>
          <w:numId w:val="1002"/>
        </w:numPr>
      </w:pPr>
      <w:r>
        <w:t xml:space="preserve">Falta cobertura de testes E2E para o fluxo Tutor (aprovação → pagamento → entrega).</w:t>
      </w:r>
    </w:p>
    <w:p>
      <w:pPr>
        <w:pStyle w:val="Compact"/>
        <w:numPr>
          <w:ilvl w:val="0"/>
          <w:numId w:val="1002"/>
        </w:numPr>
      </w:pPr>
      <w:r>
        <w:t xml:space="preserve">Auditoria de relações depende de RPC</w:t>
      </w:r>
      <w:r>
        <w:t xml:space="preserve"> </w:t>
      </w:r>
      <w:r>
        <w:rPr>
          <w:rStyle w:val="VerbatimChar"/>
        </w:rPr>
        <w:t xml:space="preserve">get_relations_graph_data</w:t>
      </w:r>
      <w:r>
        <w:t xml:space="preserve"> </w:t>
      </w:r>
      <w:r>
        <w:t xml:space="preserve">com limite fixo (2000) — sem paginação.</w:t>
      </w:r>
    </w:p>
    <w:p>
      <w:pPr>
        <w:pStyle w:val="Compact"/>
        <w:numPr>
          <w:ilvl w:val="0"/>
          <w:numId w:val="1002"/>
        </w:numPr>
      </w:pPr>
      <w:r>
        <w:t xml:space="preserve">Não há painel consolidado de health-check de provedores de IA além do</w:t>
      </w:r>
      <w:r>
        <w:t xml:space="preserve"> </w:t>
      </w:r>
      <w:r>
        <w:rPr>
          <w:rStyle w:val="VerbatimChar"/>
        </w:rPr>
        <w:t xml:space="preserve">provider-health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Ausência de feature-flag para desabilitar Gap-fill em ambientes de demonstração.</w:t>
      </w:r>
    </w:p>
    <w:p>
      <w:pPr>
        <w:pStyle w:val="Compact"/>
        <w:numPr>
          <w:ilvl w:val="0"/>
          <w:numId w:val="1002"/>
        </w:numPr>
      </w:pPr>
      <w:r>
        <w:t xml:space="preserve">Storage</w:t>
      </w:r>
      <w:r>
        <w:t xml:space="preserve"> </w:t>
      </w:r>
      <w:r>
        <w:rPr>
          <w:rStyle w:val="VerbatimChar"/>
        </w:rPr>
        <w:t xml:space="preserve">pet_exams_pdfs</w:t>
      </w:r>
      <w:r>
        <w:t xml:space="preserve"> </w:t>
      </w:r>
      <w:r>
        <w:t xml:space="preserve">não possui política de retenção/limpeza automática.</w:t>
      </w:r>
    </w:p>
    <w:p>
      <w:pPr>
        <w:pStyle w:val="Compact"/>
        <w:numPr>
          <w:ilvl w:val="0"/>
          <w:numId w:val="1002"/>
        </w:numPr>
      </w:pPr>
      <w:r>
        <w:t xml:space="preserve">Documentação de ontologia (</w:t>
      </w:r>
      <w:r>
        <w:rPr>
          <w:rStyle w:val="VerbatimChar"/>
        </w:rPr>
        <w:t xml:space="preserve">docs/ONTOLOGY_SOURCES.md</w:t>
      </w:r>
      <w:r>
        <w:t xml:space="preserve">) defasada em relação ao último import canônico.</w:t>
      </w:r>
    </w:p>
    <w:bookmarkEnd w:id="13"/>
    <w:bookmarkStart w:id="14" w:name="riscos"/>
    <w:p>
      <w:pPr>
        <w:pStyle w:val="Heading1"/>
      </w:pPr>
      <w:r>
        <w:t xml:space="preserve">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3655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Dependência de chave única</w:t>
            </w:r>
            <w:r>
              <w:t xml:space="preserve"> </w:t>
            </w:r>
            <w:r>
              <w:rPr>
                <w:rStyle w:val="VerbatimChar"/>
              </w:rPr>
              <w:t xml:space="preserve">LOVABLE_API_KEY</w:t>
            </w:r>
            <w:r>
              <w:t xml:space="preserve"> </w:t>
            </w:r>
            <w:r>
              <w:t xml:space="preserve">no gateway sem rotação programada — risco de indisponibilidade em quota burst.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Gap-fill que escreve</w:t>
            </w:r>
            <w:r>
              <w:t xml:space="preserve"> </w:t>
            </w:r>
            <w:r>
              <w:rPr>
                <w:rStyle w:val="VerbatimChar"/>
              </w:rPr>
              <w:t xml:space="preserve">pending triplets</w:t>
            </w:r>
            <w:r>
              <w:t xml:space="preserve"> </w:t>
            </w:r>
            <w:r>
              <w:t xml:space="preserve">sem revisão humana pode introduzir ruído se o threshold (50%) for relaxado.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is_admin()</w:t>
            </w:r>
            <w:r>
              <w:t xml:space="preserve"> </w:t>
            </w:r>
            <w:r>
              <w:t xml:space="preserve">é usada em RPCs SECURITY DEFINER — qualquer regressão na tabela</w:t>
            </w:r>
            <w:r>
              <w:t xml:space="preserve"> </w:t>
            </w:r>
            <w:r>
              <w:rPr>
                <w:rStyle w:val="VerbatimChar"/>
              </w:rPr>
              <w:t xml:space="preserve">user_roles</w:t>
            </w:r>
            <w:r>
              <w:t xml:space="preserve"> </w:t>
            </w:r>
            <w:r>
              <w:t xml:space="preserve">escala privilégios.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Bilingue exige incremento manual de</w:t>
            </w:r>
            <w:r>
              <w:t xml:space="preserve"> </w:t>
            </w:r>
            <w:r>
              <w:rPr>
                <w:rStyle w:val="VerbatimChar"/>
              </w:rPr>
              <w:t xml:space="preserve">I18N_VERSION</w:t>
            </w:r>
            <w:r>
              <w:t xml:space="preserve">; esquecimento causa cache stale em produção.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Soft-delete de estudos sem job de purge periódico pode inflar</w:t>
            </w:r>
            <w:r>
              <w:t xml:space="preserve"> </w:t>
            </w:r>
            <w:r>
              <w:rPr>
                <w:rStyle w:val="VerbatimChar"/>
              </w:rPr>
              <w:t xml:space="preserve">study_embeddings</w:t>
            </w:r>
            <w:r>
              <w:t xml:space="preserve"> </w:t>
            </w:r>
            <w:r>
              <w:t xml:space="preserve">e custo de vetorização.</w:t>
            </w:r>
          </w:p>
        </w:tc>
      </w:tr>
    </w:tbl>
    <w:bookmarkEnd w:id="14"/>
    <w:bookmarkStart w:id="15" w:name="conformidade"/>
    <w:p>
      <w:pPr>
        <w:pStyle w:val="Heading1"/>
      </w:pPr>
      <w:r>
        <w:t xml:space="preserve">Conformidade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FDA/EMA/AVMA</w:t>
      </w:r>
      <w:r>
        <w:t xml:space="preserve">: escopo restrito a metabólicos/degenerativos caninos; exclusão explícita de imagem complexa (MRI).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Bilingue PT/EN</w:t>
      </w:r>
      <w:r>
        <w:t xml:space="preserve">: enforcement automatizado via auditoria de tradução (</w:t>
      </w:r>
      <w:r>
        <w:rPr>
          <w:rStyle w:val="VerbatimChar"/>
        </w:rPr>
        <w:t xml:space="preserve">scripts/audit-translations.ts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RLS</w:t>
      </w:r>
      <w:r>
        <w:t xml:space="preserve">: todas as tabelas</w:t>
      </w:r>
      <w:r>
        <w:t xml:space="preserve"> </w:t>
      </w:r>
      <w:r>
        <w:rPr>
          <w:rStyle w:val="VerbatimChar"/>
        </w:rPr>
        <w:t xml:space="preserve">public.*</w:t>
      </w:r>
      <w:r>
        <w:t xml:space="preserve"> </w:t>
      </w:r>
      <w:r>
        <w:t xml:space="preserve">clínicas com policies</w:t>
      </w:r>
      <w:r>
        <w:t xml:space="preserve"> </w:t>
      </w:r>
      <w:r>
        <w:rPr>
          <w:rStyle w:val="VerbatimChar"/>
        </w:rPr>
        <w:t xml:space="preserve">auth.uid()</w:t>
      </w:r>
      <w:r>
        <w:t xml:space="preserve">-scoped +</w:t>
      </w:r>
      <w:r>
        <w:t xml:space="preserve"> </w:t>
      </w:r>
      <w:r>
        <w:rPr>
          <w:rStyle w:val="VerbatimChar"/>
        </w:rPr>
        <w:t xml:space="preserve">has_role('admin')</w:t>
      </w:r>
      <w:r>
        <w:t xml:space="preserve"> </w:t>
      </w:r>
      <w:r>
        <w:t xml:space="preserve">para CRUD administrativo.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core_rule_audit_log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study_audit_logs</w:t>
      </w:r>
      <w:r>
        <w:t xml:space="preserve"> </w:t>
      </w:r>
      <w:r>
        <w:t xml:space="preserve">ativos; deleções em massa exigem digitar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15"/>
    <w:bookmarkStart w:id="16" w:name="recomendações-para-v5.2"/>
    <w:p>
      <w:pPr>
        <w:pStyle w:val="Heading1"/>
      </w:pPr>
      <w:r>
        <w:t xml:space="preserve">Recomendações para v5.2</w:t>
      </w:r>
    </w:p>
    <w:p>
      <w:pPr>
        <w:pStyle w:val="Compact"/>
        <w:numPr>
          <w:ilvl w:val="0"/>
          <w:numId w:val="1004"/>
        </w:numPr>
      </w:pPr>
      <w:r>
        <w:t xml:space="preserve">Implementar rotação automática de</w:t>
      </w:r>
      <w:r>
        <w:t xml:space="preserve"> </w:t>
      </w:r>
      <w:r>
        <w:rPr>
          <w:rStyle w:val="VerbatimChar"/>
        </w:rPr>
        <w:t xml:space="preserve">LOVABLE_API_KEY</w:t>
      </w:r>
      <w:r>
        <w:t xml:space="preserve"> </w:t>
      </w:r>
      <w:r>
        <w:t xml:space="preserve">com fallback secundário.</w:t>
      </w:r>
    </w:p>
    <w:p>
      <w:pPr>
        <w:pStyle w:val="Compact"/>
        <w:numPr>
          <w:ilvl w:val="0"/>
          <w:numId w:val="1004"/>
        </w:numPr>
      </w:pPr>
      <w:r>
        <w:t xml:space="preserve">Adicionar feature-flag</w:t>
      </w:r>
      <w:r>
        <w:t xml:space="preserve"> </w:t>
      </w:r>
      <w:r>
        <w:rPr>
          <w:rStyle w:val="VerbatimChar"/>
        </w:rPr>
        <w:t xml:space="preserve">DISABLE_GAPFILL</w:t>
      </w:r>
      <w:r>
        <w:t xml:space="preserve"> </w:t>
      </w:r>
      <w:r>
        <w:t xml:space="preserve">por ambiente.</w:t>
      </w:r>
    </w:p>
    <w:p>
      <w:pPr>
        <w:pStyle w:val="Compact"/>
        <w:numPr>
          <w:ilvl w:val="0"/>
          <w:numId w:val="1004"/>
        </w:numPr>
      </w:pPr>
      <w:r>
        <w:t xml:space="preserve">Paginação cursor-based em</w:t>
      </w:r>
      <w:r>
        <w:t xml:space="preserve"> </w:t>
      </w:r>
      <w:r>
        <w:rPr>
          <w:rStyle w:val="VerbatimChar"/>
        </w:rPr>
        <w:t xml:space="preserve">get_relations_graph_data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Lint/CI que falha PR se mexer em</w:t>
      </w:r>
      <w:r>
        <w:t xml:space="preserve"> </w:t>
      </w:r>
      <w:r>
        <w:rPr>
          <w:rStyle w:val="VerbatimChar"/>
        </w:rPr>
        <w:t xml:space="preserve">src/locales/**</w:t>
      </w:r>
      <w:r>
        <w:t xml:space="preserve"> </w:t>
      </w:r>
      <w:r>
        <w:t xml:space="preserve">sem bumpar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Job semanal de purge de</w:t>
      </w:r>
      <w:r>
        <w:t xml:space="preserve"> </w:t>
      </w:r>
      <w:r>
        <w:rPr>
          <w:rStyle w:val="VerbatimChar"/>
        </w:rPr>
        <w:t xml:space="preserve">study_embeddings</w:t>
      </w:r>
      <w:r>
        <w:t xml:space="preserve"> </w:t>
      </w:r>
      <w:r>
        <w:t xml:space="preserve">órfãos.</w:t>
      </w:r>
    </w:p>
    <w:p>
      <w:pPr>
        <w:pStyle w:val="Compact"/>
        <w:numPr>
          <w:ilvl w:val="0"/>
          <w:numId w:val="1004"/>
        </w:numPr>
      </w:pPr>
      <w:r>
        <w:t xml:space="preserve">Suíte E2E (Playwright) cobrindo fluxos Tutor e Veterinário ponta-a-ponta.</w:t>
      </w:r>
    </w:p>
    <w:bookmarkEnd w:id="16"/>
    <w:bookmarkStart w:id="17" w:name="apêndice-convenções"/>
    <w:p>
      <w:pPr>
        <w:pStyle w:val="Heading1"/>
      </w:pPr>
      <w:r>
        <w:t xml:space="preserve">Apêndice — Convenções</w:t>
      </w:r>
    </w:p>
    <w:p>
      <w:pPr>
        <w:pStyle w:val="Compact"/>
        <w:numPr>
          <w:ilvl w:val="0"/>
          <w:numId w:val="1005"/>
        </w:numPr>
      </w:pPr>
      <w:r>
        <w:t xml:space="preserve">IDs canônicos: UUID Supabase (nunca</w:t>
      </w:r>
      <w:r>
        <w:t xml:space="preserve"> </w:t>
      </w:r>
      <w:r>
        <w:rPr>
          <w:rStyle w:val="VerbatimChar"/>
        </w:rPr>
        <w:t xml:space="preserve">elementId</w:t>
      </w:r>
      <w:r>
        <w:t xml:space="preserve"> </w:t>
      </w:r>
      <w:r>
        <w:t xml:space="preserve">do Neo4j).</w:t>
      </w:r>
    </w:p>
    <w:p>
      <w:pPr>
        <w:pStyle w:val="Compact"/>
        <w:numPr>
          <w:ilvl w:val="0"/>
          <w:numId w:val="1005"/>
        </w:numPr>
      </w:pPr>
      <w:r>
        <w:t xml:space="preserve">Taxonomia: SNOMED-CT VetSCT + UMLS, governada por</w:t>
      </w:r>
      <w:r>
        <w:t xml:space="preserve"> </w:t>
      </w:r>
      <w:r>
        <w:rPr>
          <w:rStyle w:val="VerbatimChar"/>
        </w:rPr>
        <w:t xml:space="preserve">src/data/biomedical-taxonomy.ts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Curadoria: triplets</w:t>
      </w:r>
      <w:r>
        <w:t xml:space="preserve"> </w:t>
      </w:r>
      <w:r>
        <w:rPr>
          <w:rStyle w:val="VerbatimChar"/>
        </w:rPr>
        <w:t xml:space="preserve">&lt; 50%</w:t>
      </w:r>
      <w:r>
        <w:t xml:space="preserve"> </w:t>
      </w:r>
      <w:r>
        <w:t xml:space="preserve">ficam</w:t>
      </w:r>
      <w:r>
        <w:t xml:space="preserve"> </w:t>
      </w:r>
      <w:r>
        <w:rPr>
          <w:b/>
          <w:bCs/>
        </w:rPr>
        <w:t xml:space="preserve">pending</w:t>
      </w:r>
      <w:r>
        <w:t xml:space="preserve">; ≥ 50% auto-aprovam.</w:t>
      </w:r>
    </w:p>
    <w:p>
      <w:pPr>
        <w:pStyle w:val="Compact"/>
        <w:numPr>
          <w:ilvl w:val="0"/>
          <w:numId w:val="1005"/>
        </w:numPr>
      </w:pPr>
      <w:r>
        <w:t xml:space="preserve">Recomendações: cap de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compostos sinérgicos, nomes humanos, dedup alfanumérica.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Técnica Senex AI v5.1.0</dc:title>
  <dc:creator/>
  <cp:keywords/>
  <dcterms:created xsi:type="dcterms:W3CDTF">2026-05-31T02:14:17Z</dcterms:created>
  <dcterms:modified xsi:type="dcterms:W3CDTF">2026-05-31T02:14:17Z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subtitle">
    <vt:lpwstr>Operada por PetMoreTime</vt:lpwstr>
  </property>
</Properties>
</file>