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Auditoria Técnica Senex AI — v5.2.0 (Delta 18→27/05/2026)</w:t>
      </w:r>
    </w:p>
    <w:p>
      <w:pPr>
        <w:pStyle w:val="Author"/>
      </w:pPr>
      <w:r>
        <w:t xml:space="preserve">lovable-agent · paridade V3</w:t>
      </w:r>
    </w:p>
    <w:p>
      <w:pPr>
        <w:pStyle w:val="Date"/>
      </w:pPr>
      <w:r>
        <w:t xml:space="preserve">2026-05-31</w:t>
      </w:r>
    </w:p>
    <w:bookmarkStart w:id="21" w:name="auditoria-técnica-senex-ai-v5.2.0"/>
    <w:p>
      <w:pPr>
        <w:pStyle w:val="Heading1"/>
      </w:pPr>
      <w:r>
        <w:t xml:space="preserve">Auditoria Técnica Senex AI — v5.2.0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Delta sobre v5.1.0 (18/05/2026 → 27/05/2026)</w:t>
      </w:r>
      <w:r>
        <w:t xml:space="preserve"> </w:t>
      </w:r>
      <w:r>
        <w:rPr>
          <w:b/>
          <w:bCs/>
        </w:rPr>
        <w:t xml:space="preserve">Foco:</w:t>
      </w:r>
      <w:r>
        <w:t xml:space="preserve"> </w:t>
      </w:r>
      <w:r>
        <w:t xml:space="preserve">mudanças clinicamente e arquiteturalmente relevantes desde a auditoria anterior. Para a base completa (29 seções, glossário, jornadas, matriz regulatória, apêndices, bibliografia), consulte</w:t>
      </w:r>
      <w:r>
        <w:t xml:space="preserve"> </w:t>
      </w:r>
      <w:r>
        <w:rPr>
          <w:b/>
          <w:bCs/>
        </w:rPr>
        <w:t xml:space="preserve">v5.1.0</w:t>
      </w:r>
      <w:r>
        <w:t xml:space="preserve"> </w:t>
      </w:r>
      <w:r>
        <w:t xml:space="preserve">— esta v5.2.0 herda integralmente aquele documento e atualiza apenas o que mudou.</w:t>
      </w:r>
    </w:p>
    <w:p>
      <w:r>
        <w:pict>
          <v:rect style="width:0;height:1.5pt" o:hralign="center" o:hrstd="t" o:hr="t"/>
        </w:pict>
      </w:r>
    </w:p>
    <w:bookmarkStart w:id="9" w:name="sumário-executivo-do-delta"/>
    <w:p>
      <w:pPr>
        <w:pStyle w:val="Heading2"/>
      </w:pPr>
      <w:r>
        <w:t xml:space="preserve">1. Sumário executivo do delta</w:t>
      </w:r>
    </w:p>
    <w:p>
      <w:pPr>
        <w:pStyle w:val="FirstParagraph"/>
      </w:pPr>
      <w:r>
        <w:t xml:space="preserve">Entre 18/05 e 27/05/2026 o sistema passou por</w:t>
      </w:r>
      <w:r>
        <w:t xml:space="preserve"> </w:t>
      </w:r>
      <w:r>
        <w:rPr>
          <w:b/>
          <w:bCs/>
        </w:rPr>
        <w:t xml:space="preserve">5 mudanças estruturais</w:t>
      </w:r>
      <w:r>
        <w:t xml:space="preserve"> </w:t>
      </w:r>
      <w:r>
        <w:t xml:space="preserve">que afetam diretamente governança clínica, qualidade do raciocínio populacional e conformidade regulatória. Nenhuma destas alterações estava capturada na v5.1.0; todas elas reduzem riscos previamente listados como P0/P1 e fortalecem a postura GMLP/EMA.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Mudança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Impacto sobre gaps/riscos da v5.1.0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Scientist</w:t>
            </w:r>
            <w:r>
              <w:t xml:space="preserve"> </w:t>
            </w:r>
            <w:r>
              <w:t xml:space="preserve">(rename de</w:t>
            </w:r>
            <w:r>
              <w:t xml:space="preserve"> </w:t>
            </w:r>
            <w:r>
              <w:t xml:space="preserve">“Priorizações”</w:t>
            </w:r>
            <w:r>
              <w:t xml:space="preserve">) movido para Research &amp; Development</w:t>
            </w:r>
          </w:p>
        </w:tc>
        <w:tc>
          <w:tcPr/>
          <w:p>
            <w:pPr>
              <w:pStyle w:val="Compact"/>
            </w:pPr>
            <w:r>
              <w:t xml:space="preserve">admin/IA</w:t>
            </w:r>
          </w:p>
        </w:tc>
        <w:tc>
          <w:tcPr/>
          <w:p>
            <w:pPr>
              <w:pStyle w:val="Compact"/>
            </w:pPr>
            <w:r>
              <w:t xml:space="preserve">Reposiciona a função como produto científico, não tarefa operacional. Suporta GMLP §1 (escopo claro).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Validação vet-curador</w:t>
            </w:r>
            <w:r>
              <w:t xml:space="preserve"> </w:t>
            </w:r>
            <w:r>
              <w:t xml:space="preserve">obrigatória em</w:t>
            </w:r>
            <w:r>
              <w:t xml:space="preserve"> </w:t>
            </w:r>
            <w:r>
              <w:rPr>
                <w:rStyle w:val="VerbatimChar"/>
              </w:rPr>
              <w:t xml:space="preserve">cohort_insights</w:t>
            </w:r>
            <w:r>
              <w:t xml:space="preserve"> </w:t>
            </w:r>
            <w:r>
              <w:t xml:space="preserve">(status pending/approved/rejected/needs_changes)</w:t>
            </w:r>
          </w:p>
        </w:tc>
        <w:tc>
          <w:tcPr/>
          <w:p>
            <w:pPr>
              <w:pStyle w:val="Compact"/>
            </w:pPr>
            <w:r>
              <w:t xml:space="preserve">curation</w:t>
            </w:r>
          </w:p>
        </w:tc>
        <w:tc>
          <w:tcPr/>
          <w:p>
            <w:pPr>
              <w:pStyle w:val="Compact"/>
            </w:pPr>
            <w:r>
              <w:t xml:space="preserve">Fecha o loop HITL antes que um insight populacional vire regra clínica. Mitiga risco</w:t>
            </w:r>
            <w:r>
              <w:t xml:space="preserve"> </w:t>
            </w:r>
            <w:r>
              <w:t xml:space="preserve">“triplet errado auto-aprovado”</w:t>
            </w:r>
            <w:r>
              <w:t xml:space="preserve"> </w:t>
            </w:r>
            <w:r>
              <w:t xml:space="preserve">(high) e gap</w:t>
            </w:r>
            <w:r>
              <w:t xml:space="preserve"> </w:t>
            </w:r>
            <w:r>
              <w:t xml:space="preserve">“PCCP formal”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 quantitativa obrigatória</w:t>
            </w:r>
            <w:r>
              <w:t xml:space="preserve"> </w:t>
            </w:r>
            <w:r>
              <w:t xml:space="preserve">no schema dos insights (</w:t>
            </w:r>
            <w:r>
              <w:rPr>
                <w:rStyle w:val="VerbatimChar"/>
              </w:rPr>
              <w:t xml:space="preserve">n_supporting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prevalence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comparison_baseline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curation/IA</w:t>
            </w:r>
          </w:p>
        </w:tc>
        <w:tc>
          <w:tcPr/>
          <w:p>
            <w:pPr>
              <w:pStyle w:val="Compact"/>
            </w:pPr>
            <w:r>
              <w:t xml:space="preserve">Elimina confiança auto-declarada pelo LLM. Endereça FDA Draft Jan/2025 §III.B (transparência) e EMA §4.2 (rastreabilidade).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Canonicalização PT/EN</w:t>
            </w:r>
            <w:r>
              <w:t xml:space="preserve"> </w:t>
            </w:r>
            <w:r>
              <w:t xml:space="preserve">em cohort stats +</w:t>
            </w:r>
            <w:r>
              <w:t xml:space="preserve"> </w:t>
            </w:r>
            <w:r>
              <w:rPr>
                <w:rStyle w:val="VerbatimChar"/>
              </w:rPr>
              <w:t xml:space="preserve">lab-flag-canonicalizer.ts</w:t>
            </w:r>
          </w:p>
        </w:tc>
        <w:tc>
          <w:tcPr/>
          <w:p>
            <w:pPr>
              <w:pStyle w:val="Compact"/>
            </w:pPr>
            <w:r>
              <w:t xml:space="preserve">i18n/clinical</w:t>
            </w:r>
          </w:p>
        </w:tc>
        <w:tc>
          <w:tcPr/>
          <w:p>
            <w:pPr>
              <w:pStyle w:val="Compact"/>
            </w:pPr>
            <w:r>
              <w:t xml:space="preserve">Fim da duplicação Osteoarthritis/Osteoartrite e HCT/Hematócrito. Reforça regra</w:t>
            </w:r>
            <w:r>
              <w:t xml:space="preserve"> </w:t>
            </w:r>
            <w:r>
              <w:t xml:space="preserve">“Bilingual System”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suggest-cohort-ideas</w:t>
            </w:r>
            <w:r>
              <w:t xml:space="preserve">: gemini-3.1-pro-preview + validação server-side de 4 regras + fallback gpt-5.4</w:t>
            </w:r>
          </w:p>
        </w:tc>
        <w:tc>
          <w:tcPr/>
          <w:p>
            <w:pPr>
              <w:pStyle w:val="Compact"/>
            </w:pPr>
            <w:r>
              <w:t xml:space="preserve">infra/IA</w:t>
            </w:r>
          </w:p>
        </w:tc>
        <w:tc>
          <w:tcPr/>
          <w:p>
            <w:pPr>
              <w:pStyle w:val="Compact"/>
            </w:pPr>
            <w:r>
              <w:t xml:space="preserve">Cobertura forçada dos 6 modelos-alvo, fallback de provedor. Mitiga risco</w:t>
            </w:r>
            <w:r>
              <w:t xml:space="preserve"> </w:t>
            </w:r>
            <w:r>
              <w:t xml:space="preserve">“drift LLM”</w:t>
            </w:r>
            <w:r>
              <w:t xml:space="preserve"> </w:t>
            </w:r>
            <w:r>
              <w:t xml:space="preserve">(medium).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diferenças-ponto-a-ponto-contra-a-v5.1.0"/>
    <w:p>
      <w:pPr>
        <w:pStyle w:val="Heading2"/>
      </w:pPr>
      <w:r>
        <w:t xml:space="preserve">2. Diferenças ponto-a-ponto contra a v5.1.0</w:t>
      </w:r>
    </w:p>
    <w:bookmarkStart w:id="10" w:name="governança-hitl"/>
    <w:p>
      <w:pPr>
        <w:pStyle w:val="Heading3"/>
      </w:pPr>
      <w:r>
        <w:t xml:space="preserve">2.1 Governança HITL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v5.1.0:</w:t>
      </w:r>
      <w:r>
        <w:t xml:space="preserve"> </w:t>
      </w:r>
      <w:r>
        <w:t xml:space="preserve">curadoria gatekeeper para triplets de estudos.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v5.2.0:</w:t>
      </w:r>
      <w:r>
        <w:t xml:space="preserve"> </w:t>
      </w:r>
      <w:r>
        <w:rPr>
          <w:b/>
          <w:bCs/>
        </w:rPr>
        <w:t xml:space="preserve">mais</w:t>
      </w:r>
      <w:r>
        <w:t xml:space="preserve"> </w:t>
      </w:r>
      <w:r>
        <w:t xml:space="preserve">uma camada de gatekeeper, agora para</w:t>
      </w:r>
      <w:r>
        <w:t xml:space="preserve"> </w:t>
      </w:r>
      <w:r>
        <w:rPr>
          <w:i/>
          <w:iCs/>
        </w:rPr>
        <w:t xml:space="preserve">insights populacionais</w:t>
      </w:r>
      <w:r>
        <w:t xml:space="preserve"> </w:t>
      </w:r>
      <w:r>
        <w:t xml:space="preserve">(cohort_insights). Sem aprovação</w:t>
      </w:r>
      <w:r>
        <w:t xml:space="preserve"> </w:t>
      </w:r>
      <w:r>
        <w:rPr>
          <w:rStyle w:val="VerbatimChar"/>
        </w:rPr>
        <w:t xml:space="preserve">vet_reviewed_by + vet_reviewed_at</w:t>
      </w:r>
      <w:r>
        <w:t xml:space="preserve">, o insight não promove para regra/meta-estudo.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Implementação:</w:t>
      </w:r>
      <w:r>
        <w:t xml:space="preserve"> </w:t>
      </w:r>
      <w:r>
        <w:rPr>
          <w:rStyle w:val="VerbatimChar"/>
        </w:rPr>
        <w:t xml:space="preserve">VetCuratorReviewDialog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vet_review_status</w:t>
      </w:r>
      <w:r>
        <w:t xml:space="preserve"> </w:t>
      </w:r>
      <w:r>
        <w:t xml:space="preserve">com check constraint + índice.</w:t>
      </w:r>
    </w:p>
    <w:bookmarkEnd w:id="10"/>
    <w:bookmarkStart w:id="11" w:name="schema-de-evidência"/>
    <w:p>
      <w:pPr>
        <w:pStyle w:val="Heading3"/>
      </w:pPr>
      <w:r>
        <w:t xml:space="preserve">2.2 Schema de evidência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v5.1.0:</w:t>
      </w:r>
      <w:r>
        <w:t xml:space="preserve"> </w:t>
      </w:r>
      <w:r>
        <w:rPr>
          <w:rStyle w:val="VerbatimChar"/>
        </w:rPr>
        <w:t xml:space="preserve">evidence jsonb</w:t>
      </w:r>
      <w:r>
        <w:t xml:space="preserve"> </w:t>
      </w:r>
      <w:r>
        <w:t xml:space="preserve">aceitava objeto vazio; confiança vinha do LLM sem validação.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v5.2.0:</w:t>
      </w:r>
      <w:r>
        <w:t xml:space="preserve"> </w:t>
      </w:r>
      <w:r>
        <w:t xml:space="preserve">schema obriga 6 campos quantitativos. Edge function</w:t>
      </w:r>
      <w:r>
        <w:t xml:space="preserve"> </w:t>
      </w:r>
      <w:r>
        <w:rPr>
          <w:rStyle w:val="VerbatimChar"/>
        </w:rPr>
        <w:t xml:space="preserve">analyze-cohort-patterns</w:t>
      </w:r>
      <w:r>
        <w:t xml:space="preserve"> </w:t>
      </w:r>
      <w:r>
        <w:t xml:space="preserve">derruba o insight se os agregados não sustentarem números reais. Novo botão</w:t>
      </w:r>
      <w:r>
        <w:t xml:space="preserve"> </w:t>
      </w:r>
      <w:r>
        <w:t xml:space="preserve">“🧪”</w:t>
      </w:r>
      <w:r>
        <w:t xml:space="preserve"> </w:t>
      </w:r>
      <w:r>
        <w:t xml:space="preserve">permite re-análise por insight (UPDATE in-place).</w:t>
      </w:r>
    </w:p>
    <w:bookmarkEnd w:id="11"/>
    <w:bookmarkStart w:id="12" w:name="painel-de-evidência-no-dialog-de-revisão"/>
    <w:p>
      <w:pPr>
        <w:pStyle w:val="Heading3"/>
      </w:pPr>
      <w:r>
        <w:t xml:space="preserve">2.3 Painel de evidência no dialog de revisão</w:t>
      </w:r>
    </w:p>
    <w:p>
      <w:pPr>
        <w:pStyle w:val="Compact"/>
        <w:numPr>
          <w:ilvl w:val="0"/>
          <w:numId w:val="1003"/>
        </w:numPr>
      </w:pPr>
      <w:r>
        <w:t xml:space="preserve">Computado em tempo real a partir de</w:t>
      </w:r>
      <w:r>
        <w:t xml:space="preserve"> </w:t>
      </w:r>
      <w:r>
        <w:rPr>
          <w:rStyle w:val="VerbatimChar"/>
        </w:rPr>
        <w:t xml:space="preserve">pet_profiles + pet_conditions + pet_exams</w:t>
      </w:r>
      <w:r>
        <w:t xml:space="preserve"> </w:t>
      </w:r>
      <w:r>
        <w:t xml:space="preserve">(sem chamada de LLM): suporte populacional N/total, estratificação (raça, idade ± dp, severidade), top alterações lab com flags canônicas, provenance (cohort, modelo gerador, JSON do evidence). Avisos automáticos quando N&lt;10 ou suporte&lt;20%.</w:t>
      </w:r>
    </w:p>
    <w:bookmarkEnd w:id="12"/>
    <w:bookmarkStart w:id="13" w:name="canonicalização-clínica"/>
    <w:p>
      <w:pPr>
        <w:pStyle w:val="Heading3"/>
      </w:pPr>
      <w:r>
        <w:t xml:space="preserve">2.4 Canonicalização clínica</w:t>
      </w:r>
    </w:p>
    <w:p>
      <w:pPr>
        <w:pStyle w:val="Compact"/>
        <w:numPr>
          <w:ilvl w:val="0"/>
          <w:numId w:val="1004"/>
        </w:numPr>
      </w:pPr>
      <w:r>
        <w:t xml:space="preserve">Novo helper</w:t>
      </w:r>
      <w:r>
        <w:t xml:space="preserve"> </w:t>
      </w:r>
      <w:r>
        <w:rPr>
          <w:rStyle w:val="VerbatimChar"/>
        </w:rPr>
        <w:t xml:space="preserve">canonicalConditionKey</w:t>
      </w:r>
      <w:r>
        <w:t xml:space="preserve"> </w:t>
      </w:r>
      <w:r>
        <w:t xml:space="preserve">faz lookup reverso PT→EN antes da contagem (resolve a dupla contagem).</w:t>
      </w:r>
    </w:p>
    <w:p>
      <w:pPr>
        <w:pStyle w:val="Compact"/>
        <w:numPr>
          <w:ilvl w:val="0"/>
          <w:numId w:val="1004"/>
        </w:numPr>
      </w:pPr>
      <w:r>
        <w:t xml:space="preserve">Novo</w:t>
      </w:r>
      <w:r>
        <w:t xml:space="preserve"> </w:t>
      </w:r>
      <w:r>
        <w:rPr>
          <w:rStyle w:val="VerbatimChar"/>
        </w:rPr>
        <w:t xml:space="preserve">lab-flag-canonicalizer.ts</w:t>
      </w:r>
      <w:r>
        <w:t xml:space="preserve"> </w:t>
      </w:r>
      <w:r>
        <w:t xml:space="preserve">unifica HCT↔Hematócrito, PLT↔Plt, ALT↔TGP, AST↔TGO, FA↔ALP, Ureia↔BUN, Creatinina↔Creatinine. Top-12 estável.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formatLabValue</w:t>
      </w:r>
      <w:r>
        <w:t xml:space="preserve"> </w:t>
      </w:r>
      <w:r>
        <w:t xml:space="preserve">deixou de imprimir</w:t>
      </w:r>
      <w:r>
        <w:t xml:space="preserve"> </w:t>
      </w:r>
      <w:r>
        <w:rPr>
          <w:rStyle w:val="VerbatimChar"/>
        </w:rPr>
        <w:t xml:space="preserve">ref ?–?</w:t>
      </w:r>
      <w:r>
        <w:t xml:space="preserve"> </w:t>
      </w:r>
      <w:r>
        <w:t xml:space="preserve">para exames qualitativos.</w:t>
      </w:r>
    </w:p>
    <w:bookmarkEnd w:id="13"/>
    <w:bookmarkStart w:id="14" w:name="ia-gateway-robustez"/>
    <w:p>
      <w:pPr>
        <w:pStyle w:val="Heading3"/>
      </w:pPr>
      <w:r>
        <w:t xml:space="preserve">2.5 IA gateway / robustez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suggest-cohort-ideas</w:t>
      </w:r>
      <w:r>
        <w:t xml:space="preserve"> </w:t>
      </w:r>
      <w:r>
        <w:t xml:space="preserve">migrado de gemini-3.5-flash (ignorava JSON Schema, perdia</w:t>
      </w:r>
      <w:r>
        <w:t xml:space="preserve"> </w:t>
      </w:r>
      <w:r>
        <w:rPr>
          <w:rStyle w:val="VerbatimChar"/>
        </w:rPr>
        <w:t xml:space="preserve">target_model_id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record_requirements</w:t>
      </w:r>
      <w:r>
        <w:t xml:space="preserve">) para gemini-3.1-pro-preview.</w:t>
      </w:r>
    </w:p>
    <w:p>
      <w:pPr>
        <w:pStyle w:val="Compact"/>
        <w:numPr>
          <w:ilvl w:val="0"/>
          <w:numId w:val="1005"/>
        </w:numPr>
      </w:pPr>
      <w:r>
        <w:t xml:space="preserve">Validação server-side das 4 regras duras: 6 cohorts, 6 modelos distintos,</w:t>
      </w:r>
      <w:r>
        <w:t xml:space="preserve"> </w:t>
      </w:r>
      <w:r>
        <w:rPr>
          <w:rStyle w:val="VerbatimChar"/>
        </w:rPr>
        <w:t xml:space="preserve">record_requirements</w:t>
      </w:r>
      <w:r>
        <w:t xml:space="preserve"> </w:t>
      </w:r>
      <w:r>
        <w:t xml:space="preserve">não-vazio, ≥2 cohorts deceased/mixed.</w:t>
      </w:r>
    </w:p>
    <w:p>
      <w:pPr>
        <w:pStyle w:val="Compact"/>
        <w:numPr>
          <w:ilvl w:val="0"/>
          <w:numId w:val="1005"/>
        </w:numPr>
      </w:pPr>
      <w:r>
        <w:t xml:space="preserve">Fallback automático para gpt-5.4 em falha de provedor.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bertura-regulatória-delta"/>
    <w:p>
      <w:pPr>
        <w:pStyle w:val="Heading2"/>
      </w:pPr>
      <w:r>
        <w:t xml:space="preserve">3. Cobertura regulatória — delta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Pontos cobertos na v5.1.0</w:t>
            </w:r>
          </w:p>
        </w:tc>
        <w:tc>
          <w:tcPr/>
          <w:p>
            <w:pPr>
              <w:pStyle w:val="Compact"/>
            </w:pPr>
            <w:r>
              <w:t xml:space="preserve">Pontos adicionais na v5.2.0</w:t>
            </w:r>
          </w:p>
        </w:tc>
        <w:tc>
          <w:tcPr/>
          <w:p>
            <w:pPr>
              <w:pStyle w:val="Compact"/>
            </w:pPr>
            <w:r>
              <w:t xml:space="preserve">Total v5.2.0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Draft Jan/2025</w:t>
            </w:r>
          </w:p>
        </w:tc>
        <w:tc>
          <w:tcPr/>
          <w:p>
            <w:pPr>
              <w:pStyle w:val="Compact"/>
            </w:pPr>
            <w:r>
              <w:t xml:space="preserve">5/7</w:t>
            </w:r>
          </w:p>
        </w:tc>
        <w:tc>
          <w:tcPr/>
          <w:p>
            <w:pPr>
              <w:pStyle w:val="Compact"/>
            </w:pPr>
            <w:r>
              <w:t xml:space="preserve">+1 (transparência quantitativa)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 Set/2024 + EU AI Act</w:t>
            </w:r>
          </w:p>
        </w:tc>
        <w:tc>
          <w:tcPr/>
          <w:p>
            <w:pPr>
              <w:pStyle w:val="Compac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+1 (rastreabilidade de evidência)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AVMA Nov/2025</w:t>
            </w:r>
          </w:p>
        </w:tc>
        <w:tc>
          <w:tcPr/>
          <w:p>
            <w:pPr>
              <w:pStyle w:val="Compact"/>
            </w:pPr>
            <w:r>
              <w:t xml:space="preserve">2/4 (com 2 gaps)</w:t>
            </w:r>
          </w:p>
        </w:tc>
        <w:tc>
          <w:tcPr/>
          <w:p>
            <w:pPr>
              <w:pStyle w:val="Compact"/>
            </w:pPr>
            <w:r>
              <w:t xml:space="preserve">sem mudança</w:t>
            </w:r>
          </w:p>
        </w:tc>
        <w:tc>
          <w:tcPr/>
          <w:p>
            <w:pPr>
              <w:pStyle w:val="Compact"/>
            </w:pPr>
            <w:r>
              <w:t xml:space="preserve">2/4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(10 princípios)</w:t>
            </w:r>
          </w:p>
        </w:tc>
        <w:tc>
          <w:tcPr/>
          <w:p>
            <w:pPr>
              <w:pStyle w:val="Compact"/>
            </w:pPr>
            <w:r>
              <w:t xml:space="preserve">7/10 + 3 parciais</w:t>
            </w:r>
          </w:p>
        </w:tc>
        <w:tc>
          <w:tcPr/>
          <w:p>
            <w:pPr>
              <w:pStyle w:val="Compact"/>
            </w:pPr>
            <w:r>
              <w:t xml:space="preserve">+1 (princípio §1 escopo)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8/10 + 2 parciais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66e5b5cfd9172c3e9364f8e9357dc61070b178d"/>
    <w:p>
      <w:pPr>
        <w:pStyle w:val="Heading2"/>
      </w:pPr>
      <w:r>
        <w:t xml:space="preserve">4. Mitigações de gaps/riscos previamente listados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Gap/Risco (v5.1.0)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Status em v5.2.0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PCCP formal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mitigação</w:t>
            </w:r>
            <w:r>
              <w:t xml:space="preserve"> </w:t>
            </w:r>
            <w:r>
              <w:t xml:space="preserve">— HITL populacional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 errado auto-aprovado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Reduzido</w:t>
            </w:r>
            <w:r>
              <w:t xml:space="preserve"> </w:t>
            </w:r>
            <w:r>
              <w:t xml:space="preserve">— validação vet-curador agora cobre insights populacionais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LLM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Reduzido</w:t>
            </w:r>
            <w:r>
              <w:t xml:space="preserve"> </w:t>
            </w:r>
            <w:r>
              <w:t xml:space="preserve">— validação server-side + fallback de provedor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audit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sem mudança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RWPM longitudinal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sem mudança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legados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sem mudança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Gompertz 81 raças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sem mudança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Gaps remanescentes:</w:t>
      </w:r>
      <w:r>
        <w:t xml:space="preserve"> </w:t>
      </w:r>
      <w:r>
        <w:t xml:space="preserve">9 (12 → 9).</w:t>
      </w:r>
      <w:r>
        <w:t xml:space="preserve"> </w:t>
      </w:r>
      <w:r>
        <w:rPr>
          <w:b/>
          <w:bCs/>
        </w:rPr>
        <w:t xml:space="preserve">Riscos remanescentes:</w:t>
      </w:r>
      <w:r>
        <w:t xml:space="preserve"> </w:t>
      </w:r>
      <w:r>
        <w:t xml:space="preserve">4 (5 → 4).</w:t>
      </w:r>
    </w:p>
    <w:p>
      <w:r>
        <w:pict>
          <v:rect style="width:0;height:1.5pt" o:hralign="center" o:hrstd="t" o:hr="t"/>
        </w:pict>
      </w:r>
    </w:p>
    <w:bookmarkEnd w:id="17"/>
    <w:bookmarkStart w:id="18" w:name="métricas-operacionais-snapshot-31052026"/>
    <w:p>
      <w:pPr>
        <w:pStyle w:val="Heading2"/>
      </w:pPr>
      <w:r>
        <w:t xml:space="preserve">5. Métricas operacionais (snapshot 31/05/2026)</w:t>
      </w:r>
    </w:p>
    <w:p>
      <w:pPr>
        <w:pStyle w:val="FirstParagraph"/>
      </w:pPr>
      <w:r>
        <w:t xml:space="preserve">Reaproveita os dados da v5.1.0 + adições do período: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Functions:</w:t>
      </w:r>
      <w:r>
        <w:t xml:space="preserve"> </w:t>
      </w:r>
      <w:r>
        <w:t xml:space="preserve">67 (sem alteração estrutural; 1 endurecida).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Prompts ativos (</w:t>
      </w:r>
      <w:r>
        <w:rPr>
          <w:rStyle w:val="VerbatimChar"/>
          <w:b/>
          <w:bCs/>
        </w:rPr>
        <w:t xml:space="preserve">ai_prompt_versions</w:t>
      </w:r>
      <w:r>
        <w:rPr>
          <w:b/>
          <w:bCs/>
        </w:rPr>
        <w:t xml:space="preserve">):</w:t>
      </w:r>
      <w:r>
        <w:t xml:space="preserve"> </w:t>
      </w:r>
      <w:r>
        <w:t xml:space="preserve">8 (mesma contagem; 1 prompt do</w:t>
      </w:r>
      <w:r>
        <w:t xml:space="preserve"> </w:t>
      </w:r>
      <w:r>
        <w:rPr>
          <w:rStyle w:val="VerbatimChar"/>
        </w:rPr>
        <w:t xml:space="preserve">analyze-cohort-patterns</w:t>
      </w:r>
      <w:r>
        <w:t xml:space="preserve"> </w:t>
      </w:r>
      <w:r>
        <w:t xml:space="preserve">versão maior).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i18n_version:</w:t>
      </w:r>
      <w:r>
        <w:t xml:space="preserve"> </w:t>
      </w:r>
      <w:r>
        <w:t xml:space="preserve">1.115.6 (de 1.86.7).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Triplets aprovados:</w:t>
      </w:r>
      <w:r>
        <w:t xml:space="preserve"> </w:t>
      </w:r>
      <w:r>
        <w:t xml:space="preserve">3924; sincronizados Neo4j: 4411; totais: 4785 (sem mudança material no período).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Cohort insights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vet_review_status</w:t>
      </w:r>
      <w:r>
        <w:rPr>
          <w:b/>
          <w:bCs/>
        </w:rPr>
        <w:t xml:space="preserve">:</w:t>
      </w:r>
      <w:r>
        <w:t xml:space="preserve"> </w:t>
      </w:r>
      <w:r>
        <w:t xml:space="preserve">novo campo; backfill default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b0a1ce6e408b3f738c27248d84c97834ca3a1e2"/>
    <w:p>
      <w:pPr>
        <w:pStyle w:val="Heading2"/>
      </w:pPr>
      <w:r>
        <w:t xml:space="preserve">6. Pendências carregadas para a próxima auditoria (v5.3.0)</w:t>
      </w:r>
    </w:p>
    <w:p>
      <w:pPr>
        <w:pStyle w:val="Compact"/>
        <w:numPr>
          <w:ilvl w:val="0"/>
          <w:numId w:val="1007"/>
        </w:numPr>
      </w:pPr>
      <w:r>
        <w:t xml:space="preserve">RWPM longitudinal (P0) — sem progresso.</w:t>
      </w:r>
    </w:p>
    <w:p>
      <w:pPr>
        <w:pStyle w:val="Compact"/>
        <w:numPr>
          <w:ilvl w:val="0"/>
          <w:numId w:val="1007"/>
        </w:numPr>
      </w:pPr>
      <w:r>
        <w:t xml:space="preserve">Bias audit (P1) — sem progresso.</w:t>
      </w:r>
    </w:p>
    <w:p>
      <w:pPr>
        <w:pStyle w:val="Compact"/>
        <w:numPr>
          <w:ilvl w:val="0"/>
          <w:numId w:val="1007"/>
        </w:numPr>
      </w:pPr>
      <w:r>
        <w:t xml:space="preserve">Gompertz 81 raças (P1) — sem progresso.</w:t>
      </w:r>
    </w:p>
    <w:p>
      <w:pPr>
        <w:pStyle w:val="Compact"/>
        <w:numPr>
          <w:ilvl w:val="0"/>
          <w:numId w:val="1007"/>
        </w:numPr>
      </w:pPr>
      <w:r>
        <w:t xml:space="preserve">Europe PMC/bioRxiv (P2) — sem progresso.</w:t>
      </w:r>
    </w:p>
    <w:p>
      <w:pPr>
        <w:pStyle w:val="Compact"/>
        <w:numPr>
          <w:ilvl w:val="0"/>
          <w:numId w:val="1007"/>
        </w:numPr>
      </w:pPr>
      <w:r>
        <w:t xml:space="preserve">VLM figuras (P3) — sem progresso.</w:t>
      </w:r>
    </w:p>
    <w:p>
      <w:pPr>
        <w:pStyle w:val="Compact"/>
        <w:numPr>
          <w:ilvl w:val="0"/>
          <w:numId w:val="1007"/>
        </w:numPr>
      </w:pPr>
      <w:r>
        <w:t xml:space="preserve">AVMA Nov/2025 — 2 gaps em aberto.</w:t>
      </w:r>
    </w:p>
    <w:p>
      <w:pPr>
        <w:pStyle w:val="Compact"/>
        <w:numPr>
          <w:ilvl w:val="0"/>
          <w:numId w:val="1007"/>
        </w:numPr>
      </w:pPr>
      <w:r>
        <w:t xml:space="preserve">GMLP §3 e §7 — parciais.</w:t>
      </w:r>
    </w:p>
    <w:p>
      <w:r>
        <w:pict>
          <v:rect style="width:0;height:1.5pt" o:hralign="center" o:hrstd="t" o:hr="t"/>
        </w:pict>
      </w:r>
    </w:p>
    <w:bookmarkEnd w:id="19"/>
    <w:bookmarkStart w:id="20" w:name="anexos-herdados-da-v5.1.0"/>
    <w:p>
      <w:pPr>
        <w:pStyle w:val="Heading2"/>
      </w:pPr>
      <w:r>
        <w:t xml:space="preserve">7. Anexos herdados da v5.1.0</w:t>
      </w:r>
    </w:p>
    <w:p>
      <w:pPr>
        <w:pStyle w:val="FirstParagraph"/>
      </w:pPr>
      <w:r>
        <w:t xml:space="preserve">Inalterados; consultar diretamente em</w:t>
      </w:r>
      <w:r>
        <w:t xml:space="preserve"> </w:t>
      </w:r>
      <w:r>
        <w:rPr>
          <w:rStyle w:val="VerbatimChar"/>
        </w:rPr>
        <w:t xml:space="preserve">public/audits/v5.1.0/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Apêndice A</w:t>
      </w:r>
      <w:r>
        <w:t xml:space="preserve"> </w:t>
      </w:r>
      <w:r>
        <w:t xml:space="preserve">— Schema SQL principal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Apêndice B</w:t>
      </w:r>
      <w:r>
        <w:t xml:space="preserve"> </w:t>
      </w:r>
      <w:r>
        <w:t xml:space="preserve">— Inventário de 67 Edge Functions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Apêndice C</w:t>
      </w:r>
      <w:r>
        <w:t xml:space="preserve"> </w:t>
      </w:r>
      <w:r>
        <w:t xml:space="preserve">— Prompts e modelos LLM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Apêndice D</w:t>
      </w:r>
      <w:r>
        <w:t xml:space="preserve"> </w:t>
      </w:r>
      <w:r>
        <w:t xml:space="preserve">— Métricas operacionais consolidadas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Bibliografia</w:t>
      </w:r>
      <w:r>
        <w:t xml:space="preserve"> </w:t>
      </w:r>
      <w:r>
        <w:t xml:space="preserve">— 14 referências verificáveis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Gerado em 31/05/2026 pelo lovable-agent · paridade V3. Esta v5.2.0 é incremental sobre v5.1.0 (mesma autoria, mesma metodologia). Para auditoria completa standalone, ver v5.1.0.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Técnica Senex AI — v5.2.0 (Delta 18→27/05/2026)</dc:title>
  <dc:creator>lovable-agent · paridade V3</dc:creator>
  <cp:keywords/>
  <dcterms:created xsi:type="dcterms:W3CDTF">2026-05-31T03:03:23Z</dcterms:created>
  <dcterms:modified xsi:type="dcterms:W3CDTF">2026-05-31T03:03:23Z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2026-05-31</vt:lpwstr>
  </property>
</Properties>
</file>