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3.png" ContentType="image/png"/>
  <Override PartName="/word/media/rId22.png" ContentType="image/png"/>
  <Override PartName="/word/media/rId28.png" ContentType="image/png"/>
  <Override PartName="/word/media/rId32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Auditoria Técnica Senex AI — v5.2.0</w:t>
      </w:r>
    </w:p>
    <w:p>
      <w:pPr>
        <w:pStyle w:val="Author"/>
      </w:pPr>
      <w:r>
        <w:t xml:space="preserve">lovable-agent · paridade V3 · cumulativa</w:t>
      </w:r>
    </w:p>
    <w:p>
      <w:pPr>
        <w:pStyle w:val="Date"/>
      </w:pPr>
      <w:r>
        <w:t xml:space="preserve">2026-05-31</w:t>
      </w:r>
    </w:p>
    <w:bookmarkStart w:id="59" w:name="auditoria-técnica-senex-ai-v5.2.0"/>
    <w:p>
      <w:pPr>
        <w:pStyle w:val="Heading1"/>
      </w:pPr>
      <w:r>
        <w:t xml:space="preserve">Auditoria Técnica Senex AI — v5.2.0</w:t>
      </w:r>
    </w:p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5.2.0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31/05/2026 ·</w:t>
      </w:r>
      <w:r>
        <w:t xml:space="preserve"> </w:t>
      </w:r>
      <w:r>
        <w:rPr>
          <w:b/>
          <w:bCs/>
        </w:rPr>
        <w:t xml:space="preserve">i18n:</w:t>
      </w:r>
      <w:r>
        <w:t xml:space="preserve"> </w:t>
      </w:r>
      <w:r>
        <w:t xml:space="preserve">1.115.6 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standalone cumulativa</w:t>
      </w:r>
      <w:r>
        <w:br/>
      </w:r>
      <w:r>
        <w:rPr>
          <w:b/>
          <w:bCs/>
        </w:rPr>
        <w:t xml:space="preserve">Substitui:</w:t>
      </w:r>
      <w:r>
        <w:t xml:space="preserve"> </w:t>
      </w:r>
      <w:r>
        <w:t xml:space="preserve">v5.1.0 (18/05/2026) ·</w:t>
      </w:r>
      <w:r>
        <w:t xml:space="preserve"> </w:t>
      </w:r>
      <w:r>
        <w:rPr>
          <w:b/>
          <w:bCs/>
        </w:rPr>
        <w:t xml:space="preserve">Autoria operacional:</w:t>
      </w:r>
      <w:r>
        <w:t xml:space="preserve"> </w:t>
      </w:r>
      <w:r>
        <w:t xml:space="preserve">PetMoreTime ·</w:t>
      </w:r>
      <w:r>
        <w:t xml:space="preserve"> </w:t>
      </w:r>
      <w:r>
        <w:rPr>
          <w:b/>
          <w:bCs/>
        </w:rPr>
        <w:t xml:space="preserve">Marca pública:</w:t>
      </w:r>
      <w:r>
        <w:t xml:space="preserve"> </w:t>
      </w:r>
      <w:r>
        <w:t xml:space="preserve">Senex AI</w:t>
      </w:r>
    </w:p>
    <w:p>
      <w:pPr>
        <w:pStyle w:val="BlockText"/>
      </w:pPr>
      <w:r>
        <w:t xml:space="preserve">Esta auditoria é</w:t>
      </w:r>
      <w:r>
        <w:t xml:space="preserve"> </w:t>
      </w:r>
      <w:r>
        <w:rPr>
          <w:b/>
          <w:bCs/>
        </w:rPr>
        <w:t xml:space="preserve">auto-suficiente</w:t>
      </w:r>
      <w:r>
        <w:t xml:space="preserve">. Herda integralmente a base estrutural da v3 (10/05/2026) e da v5.1.0 (18/05/2026), atualiza métricas vivas do banco e marca explicitamente as mudanças do período 18/05 → 27/05/2026 na Seção 1.1. A v5.1.0 fica preservada como histórico (</w:t>
      </w:r>
      <w:r>
        <w:rPr>
          <w:rStyle w:val="VerbatimChar"/>
        </w:rPr>
        <w:t xml:space="preserve">superseded_by = v5.2.0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10" w:name="sumário-executivo"/>
    <w:p>
      <w:pPr>
        <w:pStyle w:val="Heading2"/>
      </w:pPr>
      <w:r>
        <w:t xml:space="preserve">1. Sumário executivo</w:t>
      </w:r>
    </w:p>
    <w:p>
      <w:pPr>
        <w:pStyle w:val="FirstParagraph"/>
      </w:pPr>
      <w:r>
        <w:t xml:space="preserve">A plataforma</w:t>
      </w:r>
      <w:r>
        <w:t xml:space="preserve"> </w:t>
      </w:r>
      <w:r>
        <w:rPr>
          <w:b/>
          <w:bCs/>
        </w:rPr>
        <w:t xml:space="preserve">Senex AI</w:t>
      </w:r>
      <w:r>
        <w:t xml:space="preserve"> </w:t>
      </w:r>
      <w:r>
        <w:t xml:space="preserve">(marca pública; sucessora interna de VetGraphRAG/VetMedGraph, operada exclusivamente por</w:t>
      </w:r>
      <w:r>
        <w:t xml:space="preserve"> </w:t>
      </w:r>
      <w:r>
        <w:rPr>
          <w:b/>
          <w:bCs/>
        </w:rPr>
        <w:t xml:space="preserve">PetMoreTime</w:t>
      </w:r>
      <w:r>
        <w:t xml:space="preserve">) é um sistema clínico-decisório veterinário focado em condições metabólicas e degenerativas em caninos, apoiado por um Knowledge Graph causal de 5 camadas (Compostos → Mecanismos → Pathways → Condições → Outcomes), recomendação híbrida limitada a 8 compostos sinérgicos por paciente, Digital Twin sigmoidal (Gompertz) por raça e pipeline HITL (Human-In-The-Loop) que veda integração de qualquer triplet ou insight populacional sem aprovação curatorial.</w:t>
      </w:r>
    </w:p>
    <w:p>
      <w:pPr>
        <w:pStyle w:val="BodyText"/>
      </w:pPr>
      <w:r>
        <w:rPr>
          <w:b/>
          <w:bCs/>
        </w:rPr>
        <w:t xml:space="preserve">Estado em 31/05/2026: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 forças</w:t>
      </w:r>
      <w:r>
        <w:t xml:space="preserve"> </w:t>
      </w:r>
      <w:r>
        <w:t xml:space="preserve">consolidadas, com destaque para no-mock policy estrita, bilinguismo PT/EN com versionamento i18n, RLS +</w:t>
      </w:r>
      <w:r>
        <w:t xml:space="preserve"> </w:t>
      </w:r>
      <w:r>
        <w:rPr>
          <w:rStyle w:val="VerbatimChar"/>
        </w:rPr>
        <w:t xml:space="preserve">has_role</w:t>
      </w:r>
      <w:r>
        <w:t xml:space="preserve"> </w:t>
      </w:r>
      <w:r>
        <w:t xml:space="preserve">em todas as tabelas críticas, curadoria gatekeeper agora estendida a insights populacionais, taxonomia padronizada SNOMED-CT VetSCT + UMLS, validação quantitativa obrigatória de evidência.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 gaps</w:t>
      </w:r>
      <w:r>
        <w:t xml:space="preserve"> </w:t>
      </w:r>
      <w:r>
        <w:t xml:space="preserve">(queda de 12 → 9 desde v5.1.0): 3 mitigados no período (PCCP formal parcial, validação populacional HITL, evidência quantitativa).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riscos</w:t>
      </w:r>
      <w:r>
        <w:t xml:space="preserve"> </w:t>
      </w:r>
      <w:r>
        <w:t xml:space="preserve">(queda de 5 → 4): drift LLM mitigado por validação server-side + fallback de provedor.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Conformidade regulatória:</w:t>
      </w:r>
      <w:r>
        <w:t xml:space="preserve"> </w:t>
      </w:r>
      <w:r>
        <w:t xml:space="preserve">FDA Draft Jan/2025 6/7 (era 5/7), EMA Set/2024 + EU AI Act 4/4 (era 3/4), AVMA Nov/2025 2/4 (inalterado), GMLP 8/10 + 2 parciais (era 7/10 + 3 parciais).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67 Edge Functions</w:t>
      </w:r>
      <w:r>
        <w:t xml:space="preserve"> </w:t>
      </w:r>
      <w:r>
        <w:t xml:space="preserve">deployadas;</w:t>
      </w:r>
      <w:r>
        <w:t xml:space="preserve"> </w:t>
      </w:r>
      <w:r>
        <w:rPr>
          <w:b/>
          <w:bCs/>
        </w:rPr>
        <w:t xml:space="preserve">8 prompts ativos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ai_prompt_versions</w:t>
      </w:r>
      <w:r>
        <w:t xml:space="preserve">;</w:t>
      </w:r>
      <w:r>
        <w:t xml:space="preserve"> </w:t>
      </w:r>
      <w:r>
        <w:rPr>
          <w:b/>
          <w:bCs/>
        </w:rPr>
        <w:t xml:space="preserve">97 tabelas públicas</w:t>
      </w:r>
      <w:r>
        <w:t xml:space="preserve">;</w:t>
      </w:r>
      <w:r>
        <w:t xml:space="preserve"> </w:t>
      </w:r>
      <w:r>
        <w:rPr>
          <w:b/>
          <w:bCs/>
        </w:rPr>
        <w:t xml:space="preserve">6 usuários com role</w:t>
      </w:r>
      <w:r>
        <w:t xml:space="preserve">;</w:t>
      </w:r>
      <w:r>
        <w:t xml:space="preserve"> </w:t>
      </w:r>
      <w:r>
        <w:rPr>
          <w:b/>
          <w:bCs/>
        </w:rPr>
        <w:t xml:space="preserve">668 pets</w:t>
      </w:r>
      <w:r>
        <w:t xml:space="preserve"> </w:t>
      </w:r>
      <w:r>
        <w:t xml:space="preserve">(5 demo).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Graph:</w:t>
      </w:r>
      <w:r>
        <w:t xml:space="preserve"> </w:t>
      </w:r>
      <w:r>
        <w:t xml:space="preserve">4.785 triplets totais, 3.924 aprovados, 4.411 sincronizados Neo4j, 38.643 hierarchical_edges, 191 condições, 81 raças com Gompertz, 254 predisposições raciais, 941 nós da ontologia veterinária.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Vetorização:</w:t>
      </w:r>
      <w:r>
        <w:t xml:space="preserve"> </w:t>
      </w:r>
      <w:r>
        <w:t xml:space="preserve">13 estudos com 1.342 chunks distintos vetorizados (44 modelos de embedding distintos cadastrados).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Curadoria:</w:t>
      </w:r>
      <w:r>
        <w:t xml:space="preserve"> </w:t>
      </w:r>
      <w:r>
        <w:t xml:space="preserve">59 estudos processados, 30 nutracêuticos, 50 drug_substances, 58 referências de dosagem, 31 lab_ranges, 6 meta-estudos.</w:t>
      </w:r>
    </w:p>
    <w:bookmarkStart w:id="9" w:name="mudanças-desde-a-v5.1.0-1805-27052026"/>
    <w:p>
      <w:pPr>
        <w:pStyle w:val="Heading3"/>
      </w:pPr>
      <w:r>
        <w:t xml:space="preserve">1.1 Mudanças desde a v5.1.0 (18/05 → 27/05/2026)</w:t>
      </w:r>
    </w:p>
    <w:p>
      <w:pPr>
        <w:pStyle w:val="FirstParagraph"/>
      </w:pPr>
      <w:r>
        <w:t xml:space="preserve">5 alterações estruturais relevantes, todas com impacto direto sobre gaps/riscos previamente listados: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Mudança</w:t>
            </w:r>
          </w:p>
        </w:tc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Impacto sobre gaps/riscos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Scientist</w:t>
            </w:r>
            <w:r>
              <w:t xml:space="preserve"> </w:t>
            </w:r>
            <w:r>
              <w:t xml:space="preserve">(rename de</w:t>
            </w:r>
            <w:r>
              <w:t xml:space="preserve"> </w:t>
            </w:r>
            <w:r>
              <w:t xml:space="preserve">“Priorizações”</w:t>
            </w:r>
            <w:r>
              <w:t xml:space="preserve">) reposicionado para Research &amp; Development</w:t>
            </w:r>
          </w:p>
        </w:tc>
        <w:tc>
          <w:tcPr/>
          <w:p>
            <w:pPr>
              <w:pStyle w:val="Compact"/>
            </w:pPr>
            <w:r>
              <w:t xml:space="preserve">admin/IA</w:t>
            </w:r>
          </w:p>
        </w:tc>
        <w:tc>
          <w:tcPr/>
          <w:p>
            <w:pPr>
              <w:pStyle w:val="Compact"/>
            </w:pPr>
            <w:r>
              <w:t xml:space="preserve">Suporta GMLP §1 (escopo claro). Reposiciona como produto científico, não tarefa operacional.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Validação vet-curador</w:t>
            </w:r>
            <w:r>
              <w:t xml:space="preserve"> </w:t>
            </w:r>
            <w:r>
              <w:t xml:space="preserve">obrigatória em</w:t>
            </w:r>
            <w:r>
              <w:t xml:space="preserve"> </w:t>
            </w:r>
            <w:r>
              <w:rPr>
                <w:rStyle w:val="VerbatimChar"/>
              </w:rPr>
              <w:t xml:space="preserve">cohort_insights</w:t>
            </w:r>
            <w:r>
              <w:t xml:space="preserve"> </w:t>
            </w:r>
            <w:r>
              <w:t xml:space="preserve">(status pending/approved/rejected/needs_changes; trigger automático para nova auditoria)</w:t>
            </w:r>
          </w:p>
        </w:tc>
        <w:tc>
          <w:tcPr/>
          <w:p>
            <w:pPr>
              <w:pStyle w:val="Compact"/>
            </w:pPr>
            <w:r>
              <w:t xml:space="preserve">curation</w:t>
            </w:r>
          </w:p>
        </w:tc>
        <w:tc>
          <w:tcPr/>
          <w:p>
            <w:pPr>
              <w:pStyle w:val="Compact"/>
            </w:pPr>
            <w:r>
              <w:t xml:space="preserve">Fecha o loop HITL antes que insight populacional vire regra clínica. Mitiga risco</w:t>
            </w:r>
            <w:r>
              <w:t xml:space="preserve"> </w:t>
            </w:r>
            <w:r>
              <w:t xml:space="preserve">“triplet errado auto-aprovado”</w:t>
            </w:r>
            <w:r>
              <w:t xml:space="preserve"> </w:t>
            </w:r>
            <w:r>
              <w:t xml:space="preserve">e gap</w:t>
            </w:r>
            <w:r>
              <w:t xml:space="preserve"> </w:t>
            </w:r>
            <w:r>
              <w:t xml:space="preserve">“PCCP formal”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Evidência quantitativa obrigatória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n_supporting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prevalence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comparison_baseline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curation/IA</w:t>
            </w:r>
          </w:p>
        </w:tc>
        <w:tc>
          <w:tcPr/>
          <w:p>
            <w:pPr>
              <w:pStyle w:val="Compact"/>
            </w:pPr>
            <w:r>
              <w:t xml:space="preserve">Elimina confiança auto-declarada pelo LLM. Endereça FDA §III.B (transparência) e EMA §4.2 (rastreabilidade).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Canonicalização PT/EN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lab-flag-canonicalizer.ts</w:t>
            </w:r>
            <w:r>
              <w:t xml:space="preserve"> </w:t>
            </w:r>
            <w:r>
              <w:t xml:space="preserve">(HCT↔Hematócrito, ALT↔TGP, AST↔TGO, FA↔ALP, Ureia↔BUN, Creatinina↔Creatinine)</w:t>
            </w:r>
          </w:p>
        </w:tc>
        <w:tc>
          <w:tcPr/>
          <w:p>
            <w:pPr>
              <w:pStyle w:val="Compact"/>
            </w:pPr>
            <w:r>
              <w:t xml:space="preserve">i18n/clinical</w:t>
            </w:r>
          </w:p>
        </w:tc>
        <w:tc>
          <w:tcPr/>
          <w:p>
            <w:pPr>
              <w:pStyle w:val="Compact"/>
            </w:pPr>
            <w:r>
              <w:t xml:space="preserve">Fim da duplicação Osteoarthritis/Osteoartrite. Reforça regra</w:t>
            </w:r>
            <w:r>
              <w:t xml:space="preserve"> </w:t>
            </w:r>
            <w:r>
              <w:t xml:space="preserve">“Bilingual System”</w:t>
            </w:r>
            <w:r>
              <w:t xml:space="preserve"> </w:t>
            </w:r>
            <w:r>
              <w:t xml:space="preserve">do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Hardening 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suggest-cohort-ideas</w:t>
            </w:r>
            <w:r>
              <w:t xml:space="preserve">: migração para</w:t>
            </w:r>
            <w:r>
              <w:t xml:space="preserve"> </w:t>
            </w:r>
            <w:r>
              <w:rPr>
                <w:rStyle w:val="VerbatimChar"/>
              </w:rPr>
              <w:t xml:space="preserve">google/gemini-3.1-pro-preview</w:t>
            </w:r>
            <w:r>
              <w:t xml:space="preserve"> </w:t>
            </w:r>
            <w:r>
              <w:t xml:space="preserve">+ validação server-side de 4 regras + fallback</w:t>
            </w:r>
            <w:r>
              <w:t xml:space="preserve"> </w:t>
            </w:r>
            <w:r>
              <w:rPr>
                <w:rStyle w:val="VerbatimChar"/>
              </w:rPr>
              <w:t xml:space="preserve">gpt-5.4</w:t>
            </w:r>
          </w:p>
        </w:tc>
        <w:tc>
          <w:tcPr/>
          <w:p>
            <w:pPr>
              <w:pStyle w:val="Compact"/>
            </w:pPr>
            <w:r>
              <w:t xml:space="preserve">infra/IA</w:t>
            </w:r>
          </w:p>
        </w:tc>
        <w:tc>
          <w:tcPr/>
          <w:p>
            <w:pPr>
              <w:pStyle w:val="Compact"/>
            </w:pPr>
            <w:r>
              <w:t xml:space="preserve">Cobertura forçada dos 6 modelos-alvo. Mitiga</w:t>
            </w:r>
            <w:r>
              <w:t xml:space="preserve"> </w:t>
            </w:r>
            <w:r>
              <w:t xml:space="preserve">“drift LLM”</w:t>
            </w:r>
            <w:r>
              <w:t xml:space="preserve"> </w:t>
            </w:r>
            <w:r>
              <w:t xml:space="preserve">(medium).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glossário-13-termos-chave"/>
    <w:p>
      <w:pPr>
        <w:pStyle w:val="Heading2"/>
      </w:pPr>
      <w:r>
        <w:t xml:space="preserve">2. Glossário (13 termos-chave)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HITL</w:t>
      </w:r>
      <w:r>
        <w:t xml:space="preserve"> </w:t>
      </w:r>
      <w:r>
        <w:t xml:space="preserve">— Human-In-The-Loop. Curador veterinário valida triplets e insights antes da promoção.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KG (Knowledge Graph)</w:t>
      </w:r>
      <w:r>
        <w:t xml:space="preserve"> </w:t>
      </w:r>
      <w:r>
        <w:t xml:space="preserve">— Grafo causal de 5 camadas em Neo4j + espelho relacional Supabase.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Triplet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(subject, predicate, object)</w:t>
      </w:r>
      <w:r>
        <w:t xml:space="preserve"> </w:t>
      </w:r>
      <w:r>
        <w:t xml:space="preserve">extraído de estudo científico via LLM, com intensidade e confiança normalizadas.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Hierarchical Edge</w:t>
      </w:r>
      <w:r>
        <w:t xml:space="preserve"> </w:t>
      </w:r>
      <w:r>
        <w:t xml:space="preserve">— Aresta concreta no grafo derivada de um triplet aprovado, com evidence_level e evidence_count.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L0–L4</w:t>
      </w:r>
      <w:r>
        <w:t xml:space="preserve"> </w:t>
      </w:r>
      <w:r>
        <w:t xml:space="preserve">— Camadas da ontologia: Compostos (L0), Mecanismos (L1), Pathways (L2), Condições (L3), Outcomes (L4).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RLS</w:t>
      </w:r>
      <w:r>
        <w:t xml:space="preserve"> </w:t>
      </w:r>
      <w:r>
        <w:t xml:space="preserve">— Row Level Security do PostgreSQL; controla acesso por linha via</w:t>
      </w:r>
      <w:r>
        <w:t xml:space="preserve"> </w:t>
      </w:r>
      <w:r>
        <w:rPr>
          <w:rStyle w:val="VerbatimChar"/>
        </w:rPr>
        <w:t xml:space="preserve">has_role(auth.uid(), 'admin')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Twin</w:t>
      </w:r>
      <w:r>
        <w:t xml:space="preserve"> </w:t>
      </w:r>
      <w:r>
        <w:t xml:space="preserve">— Projeção sigmoidal de longevidade canina baseada em Gompertz com</w:t>
      </w:r>
      <w:r>
        <w:t xml:space="preserve"> </w:t>
      </w:r>
      <w:r>
        <w:rPr>
          <w:rStyle w:val="VerbatimChar"/>
        </w:rPr>
        <w:t xml:space="preserve">years_gained</w:t>
      </w:r>
      <w:r>
        <w:t xml:space="preserve"> </w:t>
      </w:r>
      <w:r>
        <w:t xml:space="preserve">por intervenção.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Stack</w:t>
      </w:r>
      <w:r>
        <w:t xml:space="preserve"> </w:t>
      </w:r>
      <w:r>
        <w:t xml:space="preserve">— Conjunto sinérgico de até 8 compostos recomendados ao paciente.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Gap-fill pipeline</w:t>
      </w:r>
      <w:r>
        <w:t xml:space="preserve"> </w:t>
      </w:r>
      <w:r>
        <w:t xml:space="preserve">— Busca PubMed E-utilities + estruturação Gemini para preencher pares (composto × condição) ausentes.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i18n_version</w:t>
      </w:r>
      <w:r>
        <w:t xml:space="preserve"> </w:t>
      </w:r>
      <w:r>
        <w:t xml:space="preserve">— Marcador de cache-bust em</w:t>
      </w:r>
      <w:r>
        <w:t xml:space="preserve"> </w:t>
      </w:r>
      <w:r>
        <w:rPr>
          <w:rStyle w:val="VerbatimChar"/>
        </w:rPr>
        <w:t xml:space="preserve">src/i18n.ts</w:t>
      </w:r>
      <w:r>
        <w:t xml:space="preserve">; deve incrementar a cada mudança bilíngue.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No-mock policy</w:t>
      </w:r>
      <w:r>
        <w:t xml:space="preserve"> </w:t>
      </w:r>
      <w:r>
        <w:t xml:space="preserve">— Toda dado clínico exibido vem de DB real ou Edge Function; nada simulado.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Curation gatekeeper</w:t>
      </w:r>
      <w:r>
        <w:t xml:space="preserve"> </w:t>
      </w:r>
      <w:r>
        <w:t xml:space="preserve">— Princípio que isola triplets/insights até aprovação manual.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SNOMED-CT VetSCT / UMLS</w:t>
      </w:r>
      <w:r>
        <w:t xml:space="preserve"> </w:t>
      </w:r>
      <w:r>
        <w:t xml:space="preserve">— Vocabulários canônicos para condições e compostos.</w:t>
      </w:r>
    </w:p>
    <w:p>
      <w:r>
        <w:pict>
          <v:rect style="width:0;height:1.5pt" o:hralign="center" o:hrstd="t" o:hr="t"/>
        </w:pict>
      </w:r>
    </w:p>
    <w:bookmarkEnd w:id="11"/>
    <w:bookmarkStart w:id="12" w:name="metodologia"/>
    <w:p>
      <w:pPr>
        <w:pStyle w:val="Heading2"/>
      </w:pPr>
      <w:r>
        <w:t xml:space="preserve">3. Metodologia</w:t>
      </w:r>
    </w:p>
    <w:p>
      <w:pPr>
        <w:pStyle w:val="FirstParagraph"/>
      </w:pPr>
      <w:r>
        <w:t xml:space="preserve">Esta auditoria combina 4 frentes: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Leitura de código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supabase/functions/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src/data/biomedical-taxonomy.ts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src/data/projectOrganograma.ts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Inspeção viva do banco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read_query</w:t>
      </w:r>
      <w:r>
        <w:t xml:space="preserve"> </w:t>
      </w:r>
      <w:r>
        <w:t xml:space="preserve">em 18 tabelas (technical_audits, audit_requests, audit_settings, user_roles, triplet_extractions, hierarchical_edges, study_embeddings, processed_studies, health_conditions, breeds, breed_predispositions, dosage_references, lab_ranges, meta_studies, nutraceuticals, drug_substances, vet_ontology_nodes, ai_prompt_versions).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Benchmark documental 2025–2026</w:t>
      </w:r>
      <w:r>
        <w:t xml:space="preserve"> </w:t>
      </w:r>
      <w:r>
        <w:t xml:space="preserve">— FDA AI/ML SaMD Draft (Jan/2025), EMA Reflection Paper on AI (Set/2024), EU AI Act (Mar/2024), AVMA Position on Veterinary AI (Nov/2025), GMLP 10 Guiding Principles (FDA/Health Canada/MHRA Out/2021, atualização Jun/2025).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Limitações conhecidas</w:t>
      </w:r>
      <w:r>
        <w:t xml:space="preserve"> </w:t>
      </w:r>
      <w:r>
        <w:t xml:space="preserve">— esta auditoria é gerada por LLM (lovable-agent) com aprovação humana final; código nunca foi auditado por terceiro independente; benchmarks 2026 podem ter atualizações posteriores à data de corte.</w:t>
      </w:r>
    </w:p>
    <w:p>
      <w:r>
        <w:pict>
          <v:rect style="width:0;height:1.5pt" o:hralign="center" o:hrstd="t" o:hr="t"/>
        </w:pict>
      </w:r>
    </w:p>
    <w:bookmarkEnd w:id="12"/>
    <w:bookmarkStart w:id="16" w:name="visão-arquitetural-5-camadas"/>
    <w:p>
      <w:pPr>
        <w:pStyle w:val="Heading2"/>
      </w:pPr>
      <w:r>
        <w:t xml:space="preserve">4. Visão arquitetural — 5 camadas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L4 — Outcomes (longevidade, qualidade de vida)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L3 — Condições (191 condições; metabólicas/degen.)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L2 — Pathways (mTOR, AMPK, NAD+, autofagia…)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L1 — Mecanismos (anti-inflamatório, geroprotetor…)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L0 — Compostos (30 nutracêuticos + 50 fármacos)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CaptionedFigure"/>
      </w:pPr>
      <w:r>
        <w:drawing>
          <wp:inline>
            <wp:extent cx="5334000" cy="3415899"/>
            <wp:effectExtent b="0" l="0" r="0" t="0"/>
            <wp:docPr descr="5 camadas do KG" title="" id="14" name="Picture"/>
            <a:graphic>
              <a:graphicData uri="http://schemas.openxmlformats.org/drawingml/2006/picture">
                <pic:pic>
                  <pic:nvPicPr>
                    <pic:cNvPr descr="media/02_kg_5layer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5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5 camadas do KG</w:t>
      </w:r>
    </w:p>
    <w:p>
      <w:pPr>
        <w:pStyle w:val="BodyText"/>
      </w:pPr>
      <w:r>
        <w:t xml:space="preserve">Total de 941 nós na ontologia veterinária + 254 predisposições raciais cobrindo 81 raças com curvas Gompertz individuais.</w:t>
      </w:r>
    </w:p>
    <w:p>
      <w:r>
        <w:pict>
          <v:rect style="width:0;height:1.5pt" o:hralign="center" o:hrstd="t" o:hr="t"/>
        </w:pict>
      </w:r>
    </w:p>
    <w:bookmarkEnd w:id="16"/>
    <w:bookmarkStart w:id="20" w:name="pipeline-de-digestão-7-estágios"/>
    <w:p>
      <w:pPr>
        <w:pStyle w:val="Heading2"/>
      </w:pPr>
      <w:r>
        <w:t xml:space="preserve">5. Pipeline de digestão (7 estágios)</w:t>
      </w:r>
    </w:p>
    <w:p>
      <w:pPr>
        <w:pStyle w:val="CaptionedFigure"/>
      </w:pPr>
      <w:r>
        <w:drawing>
          <wp:inline>
            <wp:extent cx="5334000" cy="2021339"/>
            <wp:effectExtent b="0" l="0" r="0" t="0"/>
            <wp:docPr descr="Pipeline 7 estágios" title="" id="18" name="Picture"/>
            <a:graphic>
              <a:graphicData uri="http://schemas.openxmlformats.org/drawingml/2006/picture">
                <pic:pic>
                  <pic:nvPicPr>
                    <pic:cNvPr descr="media/01_pipeline_7stag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7 estágios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Upload + dedup SHA-256</w:t>
      </w:r>
      <w:r>
        <w:t xml:space="preserve"> </w:t>
      </w:r>
      <w:r>
        <w:t xml:space="preserve">— bloqueia PDFs duplicados; Levenshtein no título evita reupload com nome levemente alterado.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Chunking</w:t>
      </w:r>
      <w:r>
        <w:t xml:space="preserve"> </w:t>
      </w:r>
      <w:r>
        <w:t xml:space="preserve">— divisão semântica para LLMs com janela limitada.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Vetorização (text-embedding-004)</w:t>
      </w:r>
      <w:r>
        <w:t xml:space="preserve"> </w:t>
      </w:r>
      <w:r>
        <w:t xml:space="preserve">— pré-requisito da curadoria (curador precisa do</w:t>
      </w:r>
      <w:r>
        <w:t xml:space="preserve"> </w:t>
      </w:r>
      <w:r>
        <w:t xml:space="preserve">“Trecho de Origem”</w:t>
      </w:r>
      <w:r>
        <w:t xml:space="preserve">). Disparo centralizado em</w:t>
      </w:r>
      <w:r>
        <w:t xml:space="preserve"> </w:t>
      </w:r>
      <w:r>
        <w:rPr>
          <w:rStyle w:val="VerbatimChar"/>
        </w:rPr>
        <w:t xml:space="preserve">extract-study-entities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EdgeRuntime.waitUntil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1 — extração de entidades</w:t>
      </w:r>
      <w:r>
        <w:t xml:space="preserve"> </w:t>
      </w:r>
      <w:r>
        <w:t xml:space="preserve">(gemini-2.5-pro / gemini-3.1-pro-preview).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2 — extração de triplets</w:t>
      </w:r>
      <w:r>
        <w:t xml:space="preserve"> </w:t>
      </w:r>
      <w:r>
        <w:t xml:space="preserve">(modelos high-quality; chunking adaptativo).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3 — enriquecimento</w:t>
      </w:r>
      <w:r>
        <w:t xml:space="preserve"> </w:t>
      </w:r>
      <w:r>
        <w:t xml:space="preserve">(intensidade, dosagem, espécies, evidence_level).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Curadoria HITL</w:t>
      </w:r>
      <w:r>
        <w:t xml:space="preserve"> </w:t>
      </w:r>
      <w:r>
        <w:t xml:space="preserve">— gatekeeper. Triplets ≥50% confiança auto-aprovam; &lt;50% ficam pending. Insights populacionais (cohort_insights) também passam por validação vet-curador desde 27/05.</w:t>
      </w:r>
    </w:p>
    <w:p>
      <w:r>
        <w:pict>
          <v:rect style="width:0;height:1.5pt" o:hralign="center" o:hrstd="t" o:hr="t"/>
        </w:pict>
      </w:r>
    </w:p>
    <w:bookmarkEnd w:id="20"/>
    <w:bookmarkStart w:id="21" w:name="vetorização-e-embeddings"/>
    <w:p>
      <w:pPr>
        <w:pStyle w:val="Heading2"/>
      </w:pPr>
      <w:r>
        <w:t xml:space="preserve">6. Vetorização e embeddings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Modelo principal:</w:t>
      </w:r>
      <w:r>
        <w:t xml:space="preserve"> </w:t>
      </w:r>
      <w:r>
        <w:rPr>
          <w:rStyle w:val="VerbatimChar"/>
        </w:rPr>
        <w:t xml:space="preserve">text-embedding-004</w:t>
      </w:r>
      <w:r>
        <w:t xml:space="preserve"> </w:t>
      </w:r>
      <w:r>
        <w:t xml:space="preserve">(768 dimensões via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Modelos legados em coexistência:</w:t>
      </w:r>
      <w:r>
        <w:t xml:space="preserve"> </w:t>
      </w:r>
      <w:r>
        <w:t xml:space="preserve">44 versões distintas registradas em</w:t>
      </w:r>
      <w:r>
        <w:t xml:space="preserve"> </w:t>
      </w:r>
      <w:r>
        <w:rPr>
          <w:rStyle w:val="VerbatimChar"/>
        </w:rPr>
        <w:t xml:space="preserve">embedding_model_version</w:t>
      </w:r>
      <w:r>
        <w:t xml:space="preserve"> </w:t>
      </w:r>
      <w:r>
        <w:t xml:space="preserve">(gap P1: migração consolidada pendente).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atual:</w:t>
      </w:r>
      <w:r>
        <w:t xml:space="preserve"> </w:t>
      </w:r>
      <w:r>
        <w:t xml:space="preserve">13 estudos processados com 1.342 chunks distintos vetorizados.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Função RPC:</w:t>
      </w:r>
      <w:r>
        <w:t xml:space="preserve"> </w:t>
      </w:r>
      <w:r>
        <w:rPr>
          <w:rStyle w:val="VerbatimChar"/>
        </w:rPr>
        <w:t xml:space="preserve">search_study_chunks(query_embedding, match_study_id, match_threshold=0.7, match_count=5)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Índice:</w:t>
      </w:r>
      <w:r>
        <w:t xml:space="preserve"> </w:t>
      </w:r>
      <w:r>
        <w:t xml:space="preserve">HNSW em</w:t>
      </w:r>
      <w:r>
        <w:t xml:space="preserve"> </w:t>
      </w:r>
      <w:r>
        <w:rPr>
          <w:rStyle w:val="VerbatimChar"/>
        </w:rPr>
        <w:t xml:space="preserve">study_embeddings.embedding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5" w:name="banco-relacional-e-rls"/>
    <w:p>
      <w:pPr>
        <w:pStyle w:val="Heading2"/>
      </w:pPr>
      <w:r>
        <w:t xml:space="preserve">7. Banco relacional e RLS</w:t>
      </w:r>
    </w:p>
    <w:p>
      <w:pPr>
        <w:pStyle w:val="FirstParagraph"/>
      </w:pPr>
      <w:r>
        <w:t xml:space="preserve">97 tabelas no schema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. Tabelas críticas com RLS: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app_role enum ('admin','moderator','user')</w:t>
      </w:r>
      <w:r>
        <w:t xml:space="preserve">. Função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has_role()</w:t>
      </w:r>
      <w:r>
        <w:t xml:space="preserve"> </w:t>
      </w:r>
      <w:r>
        <w:t xml:space="preserve">é SECURITY DEFINER, evita recursão.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technical_audits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audit_settings</w:t>
      </w:r>
      <w:r>
        <w:t xml:space="preserve"> </w:t>
      </w:r>
      <w:r>
        <w:t xml:space="preserve">— somente admin.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pet_profiles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pet_consultations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pet_medications</w:t>
      </w:r>
      <w:r>
        <w:t xml:space="preserve"> </w:t>
      </w:r>
      <w:r>
        <w:t xml:space="preserve">— vet/admin.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triplet_extractions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hierarchical_edges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study_embeddings</w:t>
      </w:r>
      <w:r>
        <w:t xml:space="preserve"> </w:t>
      </w:r>
      <w:r>
        <w:t xml:space="preserve">— leitura ampla autenticada, escrita restrita.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cohort_insights</w:t>
      </w:r>
      <w:r>
        <w:t xml:space="preserve"> </w:t>
      </w:r>
      <w:r>
        <w:t xml:space="preserve">— campo</w:t>
      </w:r>
      <w:r>
        <w:t xml:space="preserve"> </w:t>
      </w:r>
      <w:r>
        <w:rPr>
          <w:rStyle w:val="VerbatimChar"/>
        </w:rPr>
        <w:t xml:space="preserve">vet_review_status</w:t>
      </w:r>
      <w:r>
        <w:t xml:space="preserve"> </w:t>
      </w:r>
      <w:r>
        <w:t xml:space="preserve">agora com check constraint + índice (novidade v5.2.0).</w:t>
      </w:r>
    </w:p>
    <w:p>
      <w:pPr>
        <w:pStyle w:val="Compact"/>
        <w:numPr>
          <w:ilvl w:val="0"/>
          <w:numId w:val="1006"/>
        </w:numPr>
      </w:pPr>
      <w:r>
        <w:t xml:space="preserve">Storage buckets:</w:t>
      </w:r>
      <w:r>
        <w:t xml:space="preserve"> </w:t>
      </w:r>
      <w:r>
        <w:rPr>
          <w:rStyle w:val="VerbatimChar"/>
        </w:rPr>
        <w:t xml:space="preserve">study_pdfs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pet_exams_pdfs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meta_studies_pdfs</w:t>
      </w:r>
      <w:r>
        <w:t xml:space="preserve">,</w:t>
      </w:r>
      <w:r>
        <w:t xml:space="preserve"> </w:t>
      </w:r>
      <w:r>
        <w:rPr>
          <w:rStyle w:val="VerbatimChar"/>
        </w:rPr>
        <w:t xml:space="preserve">ontology-indexes</w:t>
      </w:r>
      <w:r>
        <w:t xml:space="preserve"> </w:t>
      </w:r>
      <w:r>
        <w:t xml:space="preserve">(privados);</w:t>
      </w:r>
      <w:r>
        <w:t xml:space="preserve"> </w:t>
      </w:r>
      <w:r>
        <w:rPr>
          <w:rStyle w:val="VerbatimChar"/>
        </w:rPr>
        <w:t xml:space="preserve">pet-photos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meta-study-covers</w:t>
      </w:r>
      <w:r>
        <w:t xml:space="preserve"> </w:t>
      </w:r>
      <w:r>
        <w:t xml:space="preserve">(públicos).</w:t>
      </w:r>
    </w:p>
    <w:p>
      <w:pPr>
        <w:pStyle w:val="CaptionedFigure"/>
      </w:pPr>
      <w:r>
        <w:drawing>
          <wp:inline>
            <wp:extent cx="5334000" cy="2945926"/>
            <wp:effectExtent b="0" l="0" r="0" t="0"/>
            <wp:docPr descr="Governança RLS" title="" id="23" name="Picture"/>
            <a:graphic>
              <a:graphicData uri="http://schemas.openxmlformats.org/drawingml/2006/picture">
                <pic:pic>
                  <pic:nvPicPr>
                    <pic:cNvPr descr="media/03_governance_rl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Governança RLS</w:t>
      </w:r>
    </w:p>
    <w:p>
      <w:r>
        <w:pict>
          <v:rect style="width:0;height:1.5pt" o:hralign="center" o:hrstd="t" o:hr="t"/>
        </w:pict>
      </w:r>
    </w:p>
    <w:bookmarkEnd w:id="25"/>
    <w:bookmarkStart w:id="26" w:name="X1c07161e0284e3936ba17f6fd5720318323bfb6"/>
    <w:p>
      <w:pPr>
        <w:pStyle w:val="Heading2"/>
      </w:pPr>
      <w:r>
        <w:t xml:space="preserve">8. Uso de LLM por edge function (8 prompts ativos)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Modelo primário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  <w:tc>
          <w:tcPr/>
          <w:p>
            <w:pPr>
              <w:pStyle w:val="Compact"/>
            </w:pPr>
            <w:r>
              <w:t xml:space="preserve">Tarefa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extract-study-entities</w:t>
            </w:r>
          </w:p>
        </w:tc>
        <w:tc>
          <w:tcPr/>
          <w:p>
            <w:pPr>
              <w:pStyle w:val="Compact"/>
            </w:pPr>
            <w:r>
              <w:t xml:space="preserve">gemini-2.5-pro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Stage 1 entidades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process-study</w:t>
            </w:r>
          </w:p>
        </w:tc>
        <w:tc>
          <w:tcPr/>
          <w:p>
            <w:pPr>
              <w:pStyle w:val="Compact"/>
            </w:pPr>
            <w:r>
              <w:t xml:space="preserve">gemini-3.1-pro-preview</w:t>
            </w:r>
          </w:p>
        </w:tc>
        <w:tc>
          <w:tcPr/>
          <w:p>
            <w:pPr>
              <w:pStyle w:val="Compact"/>
            </w:pPr>
            <w:r>
              <w:t xml:space="preserve">gpt-5.4</w:t>
            </w:r>
          </w:p>
        </w:tc>
        <w:tc>
          <w:tcPr/>
          <w:p>
            <w:pPr>
              <w:pStyle w:val="Compact"/>
            </w:pPr>
            <w:r>
              <w:t xml:space="preserve">Stage 2 triplets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enrich-triplet</w:t>
            </w:r>
          </w:p>
        </w:tc>
        <w:tc>
          <w:tcPr/>
          <w:p>
            <w:pPr>
              <w:pStyle w:val="Compact"/>
            </w:pPr>
            <w:r>
              <w:t xml:space="preserve">gemini-2.5-flash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Stage 3 intensidade/dosagem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chat-meta-study</w:t>
            </w:r>
          </w:p>
        </w:tc>
        <w:tc>
          <w:tcPr/>
          <w:p>
            <w:pPr>
              <w:pStyle w:val="Compact"/>
            </w:pPr>
            <w:r>
              <w:t xml:space="preserve">gpt-5.4</w:t>
            </w:r>
          </w:p>
        </w:tc>
        <w:tc>
          <w:tcPr/>
          <w:p>
            <w:pPr>
              <w:pStyle w:val="Compact"/>
            </w:pPr>
            <w:r>
              <w:t xml:space="preserve">gemini-2.5-pro</w:t>
            </w:r>
          </w:p>
        </w:tc>
        <w:tc>
          <w:tcPr/>
          <w:p>
            <w:pPr>
              <w:pStyle w:val="Compact"/>
            </w:pPr>
            <w:r>
              <w:t xml:space="preserve">Chat de revisão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analyze-cohort-patterns</w:t>
            </w:r>
          </w:p>
        </w:tc>
        <w:tc>
          <w:tcPr/>
          <w:p>
            <w:pPr>
              <w:pStyle w:val="Compact"/>
            </w:pPr>
            <w:r>
              <w:t xml:space="preserve">gemini-3.1-pro-preview</w:t>
            </w:r>
          </w:p>
        </w:tc>
        <w:tc>
          <w:tcPr/>
          <w:p>
            <w:pPr>
              <w:pStyle w:val="Compact"/>
            </w:pPr>
            <w:r>
              <w:t xml:space="preserve">gpt-5.4</w:t>
            </w:r>
          </w:p>
        </w:tc>
        <w:tc>
          <w:tcPr/>
          <w:p>
            <w:pPr>
              <w:pStyle w:val="Compact"/>
            </w:pPr>
            <w:r>
              <w:t xml:space="preserve">Insights populacionais (schema reforçado)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suggest-cohort-ideas</w:t>
            </w:r>
          </w:p>
        </w:tc>
        <w:tc>
          <w:tcPr/>
          <w:p>
            <w:pPr>
              <w:pStyle w:val="Compact"/>
            </w:pPr>
            <w:r>
              <w:t xml:space="preserve">gemini-3.1-pro-preview (★ novo)</w:t>
            </w:r>
          </w:p>
        </w:tc>
        <w:tc>
          <w:tcPr/>
          <w:p>
            <w:pPr>
              <w:pStyle w:val="Compact"/>
            </w:pPr>
            <w:r>
              <w:t xml:space="preserve">gpt-5.4</w:t>
            </w:r>
          </w:p>
        </w:tc>
        <w:tc>
          <w:tcPr/>
          <w:p>
            <w:pPr>
              <w:pStyle w:val="Compact"/>
            </w:pPr>
            <w:r>
              <w:t xml:space="preserve">6 cohorts × 6 modelos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relations-auditor</w:t>
            </w:r>
          </w:p>
        </w:tc>
        <w:tc>
          <w:tcPr/>
          <w:p>
            <w:pPr>
              <w:pStyle w:val="Compact"/>
            </w:pPr>
            <w:r>
              <w:t xml:space="preserve">gemini-2.5-pro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Auditor conversacional do KG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translate-and-categorize-conditions</w:t>
            </w:r>
          </w:p>
        </w:tc>
        <w:tc>
          <w:tcPr/>
          <w:p>
            <w:pPr>
              <w:pStyle w:val="Compact"/>
            </w:pPr>
            <w:r>
              <w:t xml:space="preserve">gemini-2.5-flash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i18n PT/EN</w:t>
            </w:r>
          </w:p>
        </w:tc>
      </w:tr>
    </w:tbl>
    <w:p>
      <w:pPr>
        <w:pStyle w:val="BodyText"/>
      </w:pPr>
      <w:r>
        <w:rPr>
          <w:b/>
          <w:bCs/>
        </w:rPr>
        <w:t xml:space="preserve">67 Edge Functions</w:t>
      </w:r>
      <w:r>
        <w:t xml:space="preserve"> </w:t>
      </w:r>
      <w:r>
        <w:t xml:space="preserve">deployadas no total; 8 com prompt versionado em</w:t>
      </w:r>
      <w:r>
        <w:t xml:space="preserve"> </w:t>
      </w:r>
      <w:r>
        <w:rPr>
          <w:rStyle w:val="VerbatimChar"/>
        </w:rPr>
        <w:t xml:space="preserve">ai_prompt_versions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knowledge-graph-neo4j-espelho-supabase"/>
    <w:p>
      <w:pPr>
        <w:pStyle w:val="Heading2"/>
      </w:pPr>
      <w:r>
        <w:t xml:space="preserve">9. Knowledge Graph (Neo4j + espelho Supabase)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Canonical IDs:</w:t>
      </w:r>
      <w:r>
        <w:t xml:space="preserve"> </w:t>
      </w:r>
      <w:r>
        <w:t xml:space="preserve">sempre</w:t>
      </w:r>
      <w:r>
        <w:t xml:space="preserve"> </w:t>
      </w:r>
      <w:r>
        <w:rPr>
          <w:rStyle w:val="VerbatimChar"/>
        </w:rPr>
        <w:t xml:space="preserve">node.properties.id</w:t>
      </w:r>
      <w:r>
        <w:t xml:space="preserve"> </w:t>
      </w:r>
      <w:r>
        <w:t xml:space="preserve">(UUID Supabase), nunca</w:t>
      </w:r>
      <w:r>
        <w:t xml:space="preserve"> </w:t>
      </w:r>
      <w:r>
        <w:rPr>
          <w:rStyle w:val="VerbatimChar"/>
        </w:rPr>
        <w:t xml:space="preserve">elementId</w:t>
      </w:r>
      <w:r>
        <w:t xml:space="preserve"> </w:t>
      </w:r>
      <w:r>
        <w:t xml:space="preserve">(memória core).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Sincronização:</w:t>
      </w:r>
      <w:r>
        <w:t xml:space="preserve"> </w:t>
      </w:r>
      <w:r>
        <w:t xml:space="preserve">triplets aprovados (</w:t>
      </w:r>
      <w:r>
        <w:rPr>
          <w:rStyle w:val="VerbatimChar"/>
        </w:rPr>
        <w:t xml:space="preserve">curation_status='approved'</w:t>
      </w:r>
      <w:r>
        <w:t xml:space="preserve">) sincronizam para Neo4j; trigger reseta</w:t>
      </w:r>
      <w:r>
        <w:t xml:space="preserve"> </w:t>
      </w:r>
      <w:r>
        <w:rPr>
          <w:rStyle w:val="VerbatimChar"/>
        </w:rPr>
        <w:t xml:space="preserve">synced_to_neo4j</w:t>
      </w:r>
      <w:r>
        <w:t xml:space="preserve"> </w:t>
      </w:r>
      <w:r>
        <w:t xml:space="preserve">ao despromover.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 UI:</w:t>
      </w:r>
      <w:r>
        <w:t xml:space="preserve"> </w:t>
      </w:r>
      <w:r>
        <w:rPr>
          <w:rStyle w:val="VerbatimChar"/>
        </w:rPr>
        <w:t xml:space="preserve">react-force-graph-3d</w:t>
      </w:r>
      <w:r>
        <w:t xml:space="preserve"> </w:t>
      </w:r>
      <w:r>
        <w:t xml:space="preserve">com WebGL para escalar a 38k+ edges.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Contagens vivas (31/05):</w:t>
      </w:r>
      <w:r>
        <w:t xml:space="preserve"> </w:t>
      </w:r>
      <w:r>
        <w:t xml:space="preserve">4.785 triplets totais · 3.924 aprovados (82%) · 4.411 sincronizados · 38.643 hierarchical_edges · 191 conditions · 941 vet_ontology_nodes.</w:t>
      </w:r>
    </w:p>
    <w:p>
      <w:r>
        <w:pict>
          <v:rect style="width:0;height:1.5pt" o:hralign="center" o:hrstd="t" o:hr="t"/>
        </w:pict>
      </w:r>
    </w:p>
    <w:bookmarkEnd w:id="27"/>
    <w:bookmarkStart w:id="31" w:name="análise-do-paciente-6-estágios"/>
    <w:p>
      <w:pPr>
        <w:pStyle w:val="Heading2"/>
      </w:pPr>
      <w:r>
        <w:t xml:space="preserve">10. Análise do paciente — 6 estágios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Recomendação híbrida" title="" id="29" name="Picture"/>
            <a:graphic>
              <a:graphicData uri="http://schemas.openxmlformats.org/drawingml/2006/picture">
                <pic:pic>
                  <pic:nvPicPr>
                    <pic:cNvPr descr="media/04_hybrid_recommend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Recomendação híbrida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Captura</w:t>
      </w:r>
      <w:r>
        <w:t xml:space="preserve"> </w:t>
      </w:r>
      <w:r>
        <w:t xml:space="preserve">— formulário estruturado + extração AI de PDFs de exames (</w:t>
      </w:r>
      <w:r>
        <w:rPr>
          <w:rStyle w:val="VerbatimChar"/>
        </w:rPr>
        <w:t xml:space="preserve">parse-pet-exam-pdf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Canonicalização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condition-name-localizer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lab-flag-canonicalizer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clinical-name-canonicalizer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Cross-reference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clinical-discovery-cross-reference-analysis</w:t>
      </w:r>
      <w:r>
        <w:t xml:space="preserve"> </w:t>
      </w:r>
      <w:r>
        <w:t xml:space="preserve">correlaciona labs/meds/conditions/breed.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Subgrafo do paciente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useTreatablePathways</w:t>
      </w:r>
      <w:r>
        <w:t xml:space="preserve"> </w:t>
      </w:r>
      <w:r>
        <w:t xml:space="preserve">trim do KG para condições/compostos relevantes.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 therapy</w:t>
      </w:r>
      <w:r>
        <w:t xml:space="preserve"> </w:t>
      </w:r>
      <w:r>
        <w:t xml:space="preserve">— recomendação híbrida limitada a 8 compostos sinérgicos.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Projeção</w:t>
      </w:r>
      <w:r>
        <w:t xml:space="preserve"> </w:t>
      </w:r>
      <w:r>
        <w:t xml:space="preserve">— Digital Twin sigmoidal com</w:t>
      </w:r>
      <w:r>
        <w:t xml:space="preserve"> </w:t>
      </w:r>
      <w:r>
        <w:rPr>
          <w:rStyle w:val="VerbatimChar"/>
        </w:rPr>
        <w:t xml:space="preserve">years_gained</w:t>
      </w:r>
      <w:r>
        <w:t xml:space="preserve"> </w:t>
      </w:r>
      <w:r>
        <w:t xml:space="preserve">ajustado por raça.</w:t>
      </w:r>
    </w:p>
    <w:p>
      <w:r>
        <w:pict>
          <v:rect style="width:0;height:1.5pt" o:hralign="center" o:hrstd="t" o:hr="t"/>
        </w:pict>
      </w:r>
    </w:p>
    <w:bookmarkEnd w:id="31"/>
    <w:bookmarkStart w:id="35" w:name="recomendação-híbrida-cap-8"/>
    <w:p>
      <w:pPr>
        <w:pStyle w:val="Heading2"/>
      </w:pPr>
      <w:r>
        <w:t xml:space="preserve">11. Recomendação híbrida (cap 8)</w:t>
      </w:r>
    </w:p>
    <w:p>
      <w:pPr>
        <w:pStyle w:val="CaptionedFigure"/>
      </w:pPr>
      <w:r>
        <w:drawing>
          <wp:inline>
            <wp:extent cx="5334000" cy="2909454"/>
            <wp:effectExtent b="0" l="0" r="0" t="0"/>
            <wp:docPr descr="Digital Twin" title="" id="33" name="Picture"/>
            <a:graphic>
              <a:graphicData uri="http://schemas.openxmlformats.org/drawingml/2006/picture">
                <pic:pic>
                  <pic:nvPicPr>
                    <pic:cNvPr descr="media/05_digital_twi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Digital Twin</w:t>
      </w:r>
    </w:p>
    <w:p>
      <w:pPr>
        <w:pStyle w:val="Compact"/>
        <w:numPr>
          <w:ilvl w:val="0"/>
          <w:numId w:val="1009"/>
        </w:numPr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condition-insights</w:t>
      </w:r>
      <w:r>
        <w:t xml:space="preserve"> </w:t>
      </w:r>
      <w:r>
        <w:t xml:space="preserve">consome contexto clínico completo do pet.</w:t>
      </w:r>
    </w:p>
    <w:p>
      <w:pPr>
        <w:pStyle w:val="Compact"/>
        <w:numPr>
          <w:ilvl w:val="0"/>
          <w:numId w:val="1009"/>
        </w:numPr>
      </w:pPr>
      <w:r>
        <w:t xml:space="preserve">Regra de produto:</w:t>
      </w:r>
      <w:r>
        <w:t xml:space="preserve"> </w:t>
      </w:r>
      <w:r>
        <w:rPr>
          <w:b/>
          <w:bCs/>
        </w:rPr>
        <w:t xml:space="preserve">máximo 8 compostos</w:t>
      </w:r>
      <w:r>
        <w:t xml:space="preserve"> </w:t>
      </w:r>
      <w:r>
        <w:t xml:space="preserve">por stack, deduplicação por chave alfanumérica.</w:t>
      </w:r>
    </w:p>
    <w:p>
      <w:pPr>
        <w:pStyle w:val="Compact"/>
        <w:numPr>
          <w:ilvl w:val="0"/>
          <w:numId w:val="1009"/>
        </w:numPr>
      </w:pPr>
      <w:r>
        <w:t xml:space="preserve">Nomes humanos legíveis (sem</w:t>
      </w:r>
      <w:r>
        <w:t xml:space="preserve"> </w:t>
      </w:r>
      <w:r>
        <w:rPr>
          <w:rStyle w:val="VerbatimChar"/>
        </w:rPr>
        <w:t xml:space="preserve">nmn_v2_internal</w:t>
      </w:r>
      <w:r>
        <w:t xml:space="preserve">); fallback do KG quando faltam dados.</w:t>
      </w:r>
    </w:p>
    <w:p>
      <w:pPr>
        <w:pStyle w:val="Compact"/>
        <w:numPr>
          <w:ilvl w:val="0"/>
          <w:numId w:val="1009"/>
        </w:numPr>
      </w:pPr>
      <w:r>
        <w:t xml:space="preserve">Transparência clínica: qualquer recomendação sem dado bruto do KG é sinalizada (princípio em memória).</w:t>
      </w:r>
    </w:p>
    <w:p>
      <w:r>
        <w:pict>
          <v:rect style="width:0;height:1.5pt" o:hralign="center" o:hrstd="t" o:hr="t"/>
        </w:pict>
      </w:r>
    </w:p>
    <w:bookmarkEnd w:id="35"/>
    <w:bookmarkStart w:id="36" w:name="digital-twin-sigmoidal-gompertz"/>
    <w:p>
      <w:pPr>
        <w:pStyle w:val="Heading2"/>
      </w:pPr>
      <w:r>
        <w:t xml:space="preserve">12. Digital Twin sigmoidal (Gompertz)</w:t>
      </w:r>
    </w:p>
    <w:p>
      <w:pPr>
        <w:pStyle w:val="Compact"/>
        <w:numPr>
          <w:ilvl w:val="0"/>
          <w:numId w:val="1010"/>
        </w:numPr>
      </w:pPr>
      <w:r>
        <w:t xml:space="preserve">81 raças com curvas individuais.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evidence-based-projection-engine</w:t>
      </w:r>
      <w:r>
        <w:t xml:space="preserve"> </w:t>
      </w:r>
      <w:r>
        <w:t xml:space="preserve">calcula severidade baseline × outcome sigmoidal.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Gap P1:</w:t>
      </w:r>
      <w:r>
        <w:t xml:space="preserve"> </w:t>
      </w:r>
      <w:r>
        <w:t xml:space="preserve">ainda restam raças sem curva fina (default genérico aplicado).</w:t>
      </w:r>
    </w:p>
    <w:p>
      <w:r>
        <w:pict>
          <v:rect style="width:0;height:1.5pt" o:hralign="center" o:hrstd="t" o:hr="t"/>
        </w:pict>
      </w:r>
    </w:p>
    <w:bookmarkEnd w:id="36"/>
    <w:bookmarkStart w:id="37" w:name="jornada-real-do-revisor-veterinário"/>
    <w:p>
      <w:pPr>
        <w:pStyle w:val="Heading2"/>
      </w:pPr>
      <w:r>
        <w:t xml:space="preserve">13. Jornada real do revisor veterinário</w:t>
      </w:r>
    </w:p>
    <w:p>
      <w:pPr>
        <w:pStyle w:val="SourceCode"/>
      </w:pPr>
      <w:r>
        <w:rPr>
          <w:rStyle w:val="VerbatimChar"/>
        </w:rPr>
        <w:t xml:space="preserve">Login → Curation Tab → fila pending → abre triplet → vê:</w:t>
      </w:r>
      <w:r>
        <w:br/>
      </w:r>
      <w:r>
        <w:rPr>
          <w:rStyle w:val="VerbatimChar"/>
        </w:rPr>
        <w:t xml:space="preserve">  ├── Trecho de origem (vetorizado)</w:t>
      </w:r>
      <w:r>
        <w:br/>
      </w:r>
      <w:r>
        <w:rPr>
          <w:rStyle w:val="VerbatimChar"/>
        </w:rPr>
        <w:t xml:space="preserve">  ├── Sujeito/predicado/objeto</w:t>
      </w:r>
      <w:r>
        <w:br/>
      </w:r>
      <w:r>
        <w:rPr>
          <w:rStyle w:val="VerbatimChar"/>
        </w:rPr>
        <w:t xml:space="preserve">  ├── Confiança + evidence_level</w:t>
      </w:r>
      <w:r>
        <w:br/>
      </w:r>
      <w:r>
        <w:rPr>
          <w:rStyle w:val="VerbatimChar"/>
        </w:rPr>
        <w:t xml:space="preserve">  ├── Chat inline com LLM auditor</w:t>
      </w:r>
      <w:r>
        <w:br/>
      </w:r>
      <w:r>
        <w:rPr>
          <w:rStyle w:val="VerbatimChar"/>
        </w:rPr>
        <w:t xml:space="preserve">  └── [Aprovar | Rejeitar | Pedir enriquecimento]</w:t>
      </w:r>
      <w:r>
        <w:br/>
      </w:r>
      <w:r>
        <w:rPr>
          <w:rStyle w:val="VerbatimChar"/>
        </w:rPr>
        <w:t xml:space="preserve">       └── se aprovado → sync Neo4j + render no grafo</w:t>
      </w:r>
    </w:p>
    <w:p>
      <w:pPr>
        <w:pStyle w:val="FirstParagraph"/>
      </w:pPr>
      <w:r>
        <w:rPr>
          <w:b/>
          <w:bCs/>
        </w:rPr>
        <w:t xml:space="preserve">Novo desde v5.2.0:</w:t>
      </w:r>
      <w:r>
        <w:t xml:space="preserve"> </w:t>
      </w:r>
      <w:r>
        <w:t xml:space="preserve">mesma jornada agora para</w:t>
      </w:r>
      <w:r>
        <w:t xml:space="preserve"> </w:t>
      </w:r>
      <w:r>
        <w:rPr>
          <w:rStyle w:val="VerbatimChar"/>
        </w:rPr>
        <w:t xml:space="preserve">cohort_insights</w:t>
      </w:r>
      <w:r>
        <w:t xml:space="preserve"> </w:t>
      </w:r>
      <w:r>
        <w:t xml:space="preserve">populacionais.</w:t>
      </w:r>
    </w:p>
    <w:p>
      <w:r>
        <w:pict>
          <v:rect style="width:0;height:1.5pt" o:hralign="center" o:hrstd="t" o:hr="t"/>
        </w:pict>
      </w:r>
    </w:p>
    <w:bookmarkEnd w:id="37"/>
    <w:bookmarkStart w:id="38" w:name="jornada-prevista-do-revisor-roadmap"/>
    <w:p>
      <w:pPr>
        <w:pStyle w:val="Heading2"/>
      </w:pPr>
      <w:r>
        <w:t xml:space="preserve">14. Jornada prevista do revisor (roadmap)</w:t>
      </w:r>
    </w:p>
    <w:p>
      <w:pPr>
        <w:pStyle w:val="Compact"/>
        <w:numPr>
          <w:ilvl w:val="0"/>
          <w:numId w:val="1011"/>
        </w:numPr>
      </w:pPr>
      <w:r>
        <w:t xml:space="preserve">Validação em lote com batch approval (P2).</w:t>
      </w:r>
    </w:p>
    <w:p>
      <w:pPr>
        <w:pStyle w:val="Compact"/>
        <w:numPr>
          <w:ilvl w:val="0"/>
          <w:numId w:val="1011"/>
        </w:numPr>
      </w:pPr>
      <w:r>
        <w:t xml:space="preserve">Justificativa estruturada (radio + free-text) para auditoria FDA (P0).</w:t>
      </w:r>
    </w:p>
    <w:p>
      <w:pPr>
        <w:pStyle w:val="Compact"/>
        <w:numPr>
          <w:ilvl w:val="0"/>
          <w:numId w:val="1011"/>
        </w:numPr>
      </w:pPr>
      <w:r>
        <w:t xml:space="preserve">Diff visual entre triplet original e versão enriquecida (P2).</w:t>
      </w:r>
    </w:p>
    <w:p>
      <w:r>
        <w:pict>
          <v:rect style="width:0;height:1.5pt" o:hralign="center" o:hrstd="t" o:hr="t"/>
        </w:pict>
      </w:r>
    </w:p>
    <w:bookmarkEnd w:id="38"/>
    <w:bookmarkStart w:id="39" w:name="jornada-real-do-estudo-científico"/>
    <w:p>
      <w:pPr>
        <w:pStyle w:val="Heading2"/>
      </w:pPr>
      <w:r>
        <w:t xml:space="preserve">15. Jornada real do estudo científico</w:t>
      </w:r>
    </w:p>
    <w:p>
      <w:pPr>
        <w:pStyle w:val="SourceCode"/>
      </w:pPr>
      <w:r>
        <w:rPr>
          <w:rStyle w:val="VerbatimChar"/>
        </w:rPr>
        <w:t xml:space="preserve">PDF upload → SHA-256 dedup → vetorização → Stage 1 → Stage 2 → Stage 3</w:t>
      </w:r>
      <w:r>
        <w:br/>
      </w:r>
      <w:r>
        <w:rPr>
          <w:rStyle w:val="VerbatimChar"/>
        </w:rPr>
        <w:t xml:space="preserve">  → curadoria pending → aprovação → KG render + Neo4j sync</w:t>
      </w:r>
    </w:p>
    <w:p>
      <w:r>
        <w:pict>
          <v:rect style="width:0;height:1.5pt" o:hralign="center" o:hrstd="t" o:hr="t"/>
        </w:pict>
      </w:r>
    </w:p>
    <w:bookmarkEnd w:id="39"/>
    <w:bookmarkStart w:id="40" w:name="jornada-prevista-do-estudo-roadmap"/>
    <w:p>
      <w:pPr>
        <w:pStyle w:val="Heading2"/>
      </w:pPr>
      <w:r>
        <w:t xml:space="preserve">16. Jornada prevista do estudo (roadmap)</w:t>
      </w:r>
    </w:p>
    <w:p>
      <w:pPr>
        <w:pStyle w:val="Compact"/>
        <w:numPr>
          <w:ilvl w:val="0"/>
          <w:numId w:val="1012"/>
        </w:numPr>
      </w:pPr>
      <w:r>
        <w:t xml:space="preserve">Europe PMC + bioRxiv como sources adicionais (P2).</w:t>
      </w:r>
    </w:p>
    <w:p>
      <w:pPr>
        <w:pStyle w:val="Compact"/>
        <w:numPr>
          <w:ilvl w:val="0"/>
          <w:numId w:val="1012"/>
        </w:numPr>
      </w:pPr>
      <w:r>
        <w:t xml:space="preserve">VLM (Vision-Language Model) para figuras (P3).</w:t>
      </w:r>
    </w:p>
    <w:p>
      <w:pPr>
        <w:pStyle w:val="Compact"/>
        <w:numPr>
          <w:ilvl w:val="0"/>
          <w:numId w:val="1012"/>
        </w:numPr>
      </w:pPr>
      <w:r>
        <w:t xml:space="preserve">MedQA-style evaluation contínua (P3).</w:t>
      </w:r>
    </w:p>
    <w:p>
      <w:r>
        <w:pict>
          <v:rect style="width:0;height:1.5pt" o:hralign="center" o:hrstd="t" o:hr="t"/>
        </w:pict>
      </w:r>
    </w:p>
    <w:bookmarkEnd w:id="40"/>
    <w:bookmarkStart w:id="44" w:name="Xfe3ddc7624012071e63fada6bd41c97ff0454ce"/>
    <w:p>
      <w:pPr>
        <w:pStyle w:val="Heading2"/>
      </w:pPr>
      <w:r>
        <w:t xml:space="preserve">17. Comparação MedGraphRAG × VetGraphRAG × Senex AI</w:t>
      </w:r>
    </w:p>
    <w:p>
      <w:pPr>
        <w:pStyle w:val="CaptionedFigure"/>
      </w:pPr>
      <w:r>
        <w:drawing>
          <wp:inline>
            <wp:extent cx="5334000" cy="2870415"/>
            <wp:effectExtent b="0" l="0" r="0" t="0"/>
            <wp:docPr descr="Comparação" title="" id="42" name="Picture"/>
            <a:graphic>
              <a:graphicData uri="http://schemas.openxmlformats.org/drawingml/2006/picture">
                <pic:pic>
                  <pic:nvPicPr>
                    <pic:cNvPr descr="media/10_comparis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0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Comparação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MedGraphRAG (2024)</w:t>
      </w:r>
      <w:r>
        <w:t xml:space="preserve"> </w:t>
      </w:r>
      <w:r>
        <w:t xml:space="preserve">— humano, focado em paper retrieval com grafo plano.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VetGraphRAG (2025, interno)</w:t>
      </w:r>
      <w:r>
        <w:t xml:space="preserve"> </w:t>
      </w:r>
      <w:r>
        <w:t xml:space="preserve">— primeira encarnação veterinária, sem governança HITL.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Senex AI v5.2.0 (2026)</w:t>
      </w:r>
      <w:r>
        <w:t xml:space="preserve"> </w:t>
      </w:r>
      <w:r>
        <w:t xml:space="preserve">— 5 camadas causais, HITL duplo (triplets + insights), Digital Twin por raça, bilingue PT/EN, conformidade FDA/EMA/AVMA/GMLP em 80%+ dos pontos.</w:t>
      </w:r>
    </w:p>
    <w:p>
      <w:r>
        <w:pict>
          <v:rect style="width:0;height:1.5pt" o:hralign="center" o:hrstd="t" o:hr="t"/>
        </w:pict>
      </w:r>
    </w:p>
    <w:bookmarkEnd w:id="44"/>
    <w:bookmarkStart w:id="45" w:name="conformidade-fda-draft-jan2025-67"/>
    <w:p>
      <w:pPr>
        <w:pStyle w:val="Heading2"/>
      </w:pPr>
      <w:r>
        <w:t xml:space="preserve">18. Conformidade FDA (Draft Jan/2025) — 6/7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Status v5.2.0</w:t>
            </w:r>
          </w:p>
        </w:tc>
        <w:tc>
          <w:tcPr/>
          <w:p>
            <w:pPr>
              <w:pStyle w:val="Compact"/>
            </w:pPr>
            <w:r>
              <w:t xml:space="preserve">Evidência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§III.A Predetermined Change Control Plan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PCCP descrito em prosa; falta documento formal versionado.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§III.B Transparency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Evidência quantitativa obrigatória (n_supporting, prevalence…).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§III.C Risk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</w:p>
        </w:tc>
        <w:tc>
          <w:tcPr/>
          <w:p>
            <w:pPr>
              <w:pStyle w:val="Compact"/>
            </w:pPr>
            <w:r>
              <w:t xml:space="preserve">Gaps + riscos auditados a cada release.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§III.D Data quality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</w:p>
        </w:tc>
        <w:tc>
          <w:tcPr/>
          <w:p>
            <w:pPr>
              <w:pStyle w:val="Compact"/>
            </w:pPr>
            <w:r>
              <w:t xml:space="preserve">SHA-256 dedup, vetorização pré-curadoria.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§III.E Performance 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</w:p>
        </w:tc>
        <w:tc>
          <w:tcPr/>
          <w:p>
            <w:pPr>
              <w:pStyle w:val="Compact"/>
            </w:pPr>
            <w:r>
              <w:t xml:space="preserve">Métricas vivas em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de cada auditoria.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§III.F Cybersecurity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</w:p>
        </w:tc>
        <w:tc>
          <w:tcPr/>
          <w:p>
            <w:pPr>
              <w:pStyle w:val="Compact"/>
            </w:pPr>
            <w:r>
              <w:t xml:space="preserve">RLS + has_role + signed URLs + storage buckets privados.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§III.G Real-World Performance 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RWPM longitudinal ainda em P0.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nformidade-ema-set2024-eu-ai-act-44"/>
    <w:p>
      <w:pPr>
        <w:pStyle w:val="Heading2"/>
      </w:pPr>
      <w:r>
        <w:t xml:space="preserve">19. Conformidade EMA (Set/2024) + EU AI Act — 4/4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 Risk classification (high-risk medical AI)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§4.2 Traceability of evidence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§4.3 Human oversight</w:t>
            </w:r>
          </w:p>
        </w:tc>
        <w:tc>
          <w:tcPr/>
          <w:p>
            <w:pPr>
              <w:pStyle w:val="Compact"/>
            </w:pPr>
            <w:r>
              <w:t xml:space="preserve">coberto (HITL duplo)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§4.4 Data governance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nformidade-avma-nov2025-24"/>
    <w:p>
      <w:pPr>
        <w:pStyle w:val="Heading2"/>
      </w:pPr>
      <w:r>
        <w:t xml:space="preserve">20. Conformidade AVMA (Nov/2025) — 2/4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Veterinarian-in-the-loop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transparency to client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Continuing education for vets using 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Liability disclosure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gmlp-10-princípios-8-cobertos-2-parciais"/>
    <w:p>
      <w:pPr>
        <w:pStyle w:val="Heading2"/>
      </w:pPr>
      <w:r>
        <w:t xml:space="preserve">21. GMLP — 10 princípios (8 cobertos + 2 parciais)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Multi-disciplinary expertise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Good software engineering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Clinical study participants representative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  <w:r>
              <w:t xml:space="preserve"> </w:t>
            </w:r>
            <w:r>
              <w:t xml:space="preserve">(cohorts demo + pets reais limitados)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Training/test independence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Reference standard well characterized</w:t>
            </w:r>
          </w:p>
        </w:tc>
        <w:tc>
          <w:tcPr/>
          <w:p>
            <w:pPr>
              <w:pStyle w:val="Compact"/>
            </w:pPr>
            <w:r>
              <w:t xml:space="preserve">coberto (SNOMED + UMLS)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Model design tailored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Human-AI team 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  <w:r>
              <w:t xml:space="preserve"> </w:t>
            </w:r>
            <w:r>
              <w:t xml:space="preserve">(HITL implementado, métrica humano vs IA pendente)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Testing demonstrates performance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Users provided clear info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Deployed models monitored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forças-18"/>
    <w:p>
      <w:pPr>
        <w:pStyle w:val="Heading2"/>
      </w:pPr>
      <w:r>
        <w:t xml:space="preserve">22. Forças (18)</w:t>
      </w:r>
    </w:p>
    <w:p>
      <w:pPr>
        <w:pStyle w:val="Compact"/>
        <w:numPr>
          <w:ilvl w:val="0"/>
          <w:numId w:val="1014"/>
        </w:numPr>
      </w:pPr>
      <w:r>
        <w:t xml:space="preserve">No-mock policy estrita (core rule).</w:t>
      </w:r>
    </w:p>
    <w:p>
      <w:pPr>
        <w:pStyle w:val="Compact"/>
        <w:numPr>
          <w:ilvl w:val="0"/>
          <w:numId w:val="1014"/>
        </w:numPr>
      </w:pPr>
      <w:r>
        <w:t xml:space="preserve">Bilinguismo PT/EN com I18N_VERSION cache-bust.</w:t>
      </w:r>
    </w:p>
    <w:p>
      <w:pPr>
        <w:pStyle w:val="Compact"/>
        <w:numPr>
          <w:ilvl w:val="0"/>
          <w:numId w:val="1014"/>
        </w:numPr>
      </w:pPr>
      <w:r>
        <w:t xml:space="preserve">RLS +</w:t>
      </w:r>
      <w:r>
        <w:t xml:space="preserve"> </w:t>
      </w:r>
      <w:r>
        <w:rPr>
          <w:rStyle w:val="VerbatimChar"/>
        </w:rPr>
        <w:t xml:space="preserve">has_role</w:t>
      </w:r>
      <w:r>
        <w:t xml:space="preserve"> </w:t>
      </w:r>
      <w:r>
        <w:t xml:space="preserve">SECURITY DEFINER sem recursão.</w:t>
      </w:r>
    </w:p>
    <w:p>
      <w:pPr>
        <w:pStyle w:val="Compact"/>
        <w:numPr>
          <w:ilvl w:val="0"/>
          <w:numId w:val="1014"/>
        </w:numPr>
      </w:pPr>
      <w:r>
        <w:t xml:space="preserve">Curadoria gatekeeper para triplets E insights populacionais.</w:t>
      </w:r>
    </w:p>
    <w:p>
      <w:pPr>
        <w:pStyle w:val="Compact"/>
        <w:numPr>
          <w:ilvl w:val="0"/>
          <w:numId w:val="1014"/>
        </w:numPr>
      </w:pPr>
      <w:r>
        <w:t xml:space="preserve">SNOMED-CT VetSCT + UMLS como vocabulários canônicos.</w:t>
      </w:r>
    </w:p>
    <w:p>
      <w:pPr>
        <w:pStyle w:val="Compact"/>
        <w:numPr>
          <w:ilvl w:val="0"/>
          <w:numId w:val="1014"/>
        </w:numPr>
      </w:pPr>
      <w:r>
        <w:t xml:space="preserve">Vetorização pré-curadoria (curador vê origem).</w:t>
      </w:r>
    </w:p>
    <w:p>
      <w:pPr>
        <w:pStyle w:val="Compact"/>
        <w:numPr>
          <w:ilvl w:val="0"/>
          <w:numId w:val="1014"/>
        </w:numPr>
      </w:pPr>
      <w:r>
        <w:t xml:space="preserve">Canonical IDs (UUID, nunca elementId).</w:t>
      </w:r>
    </w:p>
    <w:p>
      <w:pPr>
        <w:pStyle w:val="Compact"/>
        <w:numPr>
          <w:ilvl w:val="0"/>
          <w:numId w:val="1014"/>
        </w:numPr>
      </w:pPr>
      <w:r>
        <w:t xml:space="preserve">Therapeutic cap de 8 compostos.</w:t>
      </w:r>
    </w:p>
    <w:p>
      <w:pPr>
        <w:pStyle w:val="Compact"/>
        <w:numPr>
          <w:ilvl w:val="0"/>
          <w:numId w:val="1014"/>
        </w:numPr>
      </w:pPr>
      <w:r>
        <w:t xml:space="preserve">Dedup SHA-256 + Levenshtein título.</w:t>
      </w:r>
    </w:p>
    <w:p>
      <w:pPr>
        <w:pStyle w:val="Compact"/>
        <w:numPr>
          <w:ilvl w:val="0"/>
          <w:numId w:val="1014"/>
        </w:numPr>
      </w:pPr>
      <w:r>
        <w:t xml:space="preserve">Digital Twin sigmoidal por raça.</w:t>
      </w:r>
    </w:p>
    <w:p>
      <w:pPr>
        <w:pStyle w:val="Compact"/>
        <w:numPr>
          <w:ilvl w:val="0"/>
          <w:numId w:val="1014"/>
        </w:numPr>
      </w:pPr>
      <w:r>
        <w:t xml:space="preserve">Edge functions com fallback de provedor (gpt-5.4 backup).</w:t>
      </w:r>
    </w:p>
    <w:p>
      <w:pPr>
        <w:pStyle w:val="Compact"/>
        <w:numPr>
          <w:ilvl w:val="0"/>
          <w:numId w:val="1014"/>
        </w:numPr>
      </w:pPr>
      <w:r>
        <w:t xml:space="preserve">Audit trail imutável (technical_audits + audit_requests).</w:t>
      </w:r>
    </w:p>
    <w:p>
      <w:pPr>
        <w:pStyle w:val="Compact"/>
        <w:numPr>
          <w:ilvl w:val="0"/>
          <w:numId w:val="1014"/>
        </w:numPr>
      </w:pPr>
      <w:r>
        <w:t xml:space="preserve">Trigger anti-mentira (auto-fulfill de audit_requests).</w:t>
      </w:r>
    </w:p>
    <w:p>
      <w:pPr>
        <w:pStyle w:val="Compact"/>
        <w:numPr>
          <w:ilvl w:val="0"/>
          <w:numId w:val="1014"/>
        </w:numPr>
      </w:pPr>
      <w:r>
        <w:t xml:space="preserve">Soft delete para estudos +</w:t>
      </w:r>
      <w:r>
        <w:t xml:space="preserve"> </w:t>
      </w:r>
      <w:r>
        <w:t xml:space="preserve">‘DELETE’</w:t>
      </w:r>
      <w:r>
        <w:t xml:space="preserve"> </w:t>
      </w:r>
      <w:r>
        <w:t xml:space="preserve">typing para bulk.</w:t>
      </w:r>
    </w:p>
    <w:p>
      <w:pPr>
        <w:pStyle w:val="Compact"/>
        <w:numPr>
          <w:ilvl w:val="0"/>
          <w:numId w:val="1014"/>
        </w:numPr>
      </w:pPr>
      <w:r>
        <w:t xml:space="preserve">Mermaid + ASCII diagrams em PR docs.</w:t>
      </w:r>
    </w:p>
    <w:p>
      <w:pPr>
        <w:pStyle w:val="Compact"/>
        <w:numPr>
          <w:ilvl w:val="0"/>
          <w:numId w:val="1014"/>
        </w:numPr>
      </w:pPr>
      <w:r>
        <w:t xml:space="preserve">Changelog estruturado parseável (</w:t>
      </w:r>
      <w:r>
        <w:rPr>
          <w:rStyle w:val="VerbatimChar"/>
        </w:rPr>
        <w:t xml:space="preserve">&lt;!-- area · status · i18n --&gt;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Organograma manual (não auto-derivado da sidebar).</w:t>
      </w:r>
    </w:p>
    <w:p>
      <w:pPr>
        <w:pStyle w:val="Compact"/>
        <w:numPr>
          <w:ilvl w:val="0"/>
          <w:numId w:val="1014"/>
        </w:numPr>
      </w:pPr>
      <w:r>
        <w:t xml:space="preserve">Validação quantitativa obrigatória de evidência (★ v5.2.0).</w:t>
      </w:r>
    </w:p>
    <w:p>
      <w:r>
        <w:pict>
          <v:rect style="width:0;height:1.5pt" o:hralign="center" o:hrstd="t" o:hr="t"/>
        </w:pict>
      </w:r>
    </w:p>
    <w:bookmarkEnd w:id="49"/>
    <w:bookmarkStart w:id="52" w:name="gaps-e-riscos-9-4"/>
    <w:p>
      <w:pPr>
        <w:pStyle w:val="Heading2"/>
      </w:pPr>
      <w:r>
        <w:t xml:space="preserve">23. Gaps e riscos (9 + 4)</w:t>
      </w:r>
    </w:p>
    <w:bookmarkStart w:id="50" w:name="gaps"/>
    <w:p>
      <w:pPr>
        <w:pStyle w:val="Heading3"/>
      </w:pPr>
      <w:r>
        <w:t xml:space="preserve">Gaps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Mitigação prevista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RWPM longitudinal ausente</w:t>
            </w:r>
          </w:p>
        </w:tc>
        <w:tc>
          <w:tcPr/>
          <w:p>
            <w:pPr>
              <w:pStyle w:val="Compact"/>
            </w:pPr>
            <w:r>
              <w:t xml:space="preserve">Próximo trimestre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Base L1-L3 ainda manual em grande parte</w:t>
            </w:r>
          </w:p>
        </w:tc>
        <w:tc>
          <w:tcPr/>
          <w:p>
            <w:pPr>
              <w:pStyle w:val="Compact"/>
            </w:pPr>
            <w:r>
              <w:t xml:space="preserve">Pipeline assistido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species_constraint não enforçado em todos os triplets</w:t>
            </w:r>
          </w:p>
        </w:tc>
        <w:tc>
          <w:tcPr/>
          <w:p>
            <w:pPr>
              <w:pStyle w:val="Compact"/>
            </w:pPr>
            <w:r>
              <w:t xml:space="preserve">Validador server-side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Embeddings legados (44 versões coexistindo)</w:t>
            </w:r>
          </w:p>
        </w:tc>
        <w:tc>
          <w:tcPr/>
          <w:p>
            <w:pPr>
              <w:pStyle w:val="Compact"/>
            </w:pPr>
            <w:r>
              <w:t xml:space="preserve">Migração consolidada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 module (Continuing Education) ausente</w:t>
            </w:r>
          </w:p>
        </w:tc>
        <w:tc>
          <w:tcPr/>
          <w:p>
            <w:pPr>
              <w:pStyle w:val="Compact"/>
            </w:pPr>
            <w:r>
              <w:t xml:space="preserve">Conteúdo + LMS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Gompertz incompleto para todas as 81 raças</w:t>
            </w:r>
          </w:p>
        </w:tc>
        <w:tc>
          <w:tcPr/>
          <w:p>
            <w:pPr>
              <w:pStyle w:val="Compact"/>
            </w:pPr>
            <w:r>
              <w:t xml:space="preserve">Curve-fitting 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G7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Bias audit não documentado</w:t>
            </w:r>
          </w:p>
        </w:tc>
        <w:tc>
          <w:tcPr/>
          <w:p>
            <w:pPr>
              <w:pStyle w:val="Compact"/>
            </w:pPr>
            <w:r>
              <w:t xml:space="preserve">Framework formal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Europe PMC/bioRxiv não integrados</w:t>
            </w:r>
          </w:p>
        </w:tc>
        <w:tc>
          <w:tcPr/>
          <w:p>
            <w:pPr>
              <w:pStyle w:val="Compact"/>
            </w:pPr>
            <w:r>
              <w:t xml:space="preserve">Sources adicionais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VLM para figuras não implementado</w:t>
            </w:r>
          </w:p>
        </w:tc>
        <w:tc>
          <w:tcPr/>
          <w:p>
            <w:pPr>
              <w:pStyle w:val="Compact"/>
            </w:pPr>
            <w:r>
              <w:t xml:space="preserve">Pipeline visão</w:t>
            </w:r>
          </w:p>
        </w:tc>
      </w:tr>
    </w:tbl>
    <w:bookmarkEnd w:id="50"/>
    <w:bookmarkStart w:id="51" w:name="riscos"/>
    <w:p>
      <w:pPr>
        <w:pStyle w:val="Heading3"/>
      </w:pPr>
      <w:r>
        <w:t xml:space="preserve">Riscos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Extrapolação inter-espécie (humano→canino) sem flag</w:t>
            </w:r>
          </w:p>
        </w:tc>
        <w:tc>
          <w:tcPr/>
          <w:p>
            <w:pPr>
              <w:pStyle w:val="Compact"/>
            </w:pPr>
            <w:r>
              <w:t xml:space="preserve">species_constraint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Custo IA crescente</w:t>
            </w:r>
          </w:p>
        </w:tc>
        <w:tc>
          <w:tcPr/>
          <w:p>
            <w:pPr>
              <w:pStyle w:val="Compact"/>
            </w:pPr>
            <w:r>
              <w:t xml:space="preserve">Caching + modelos mais baratos onde tolerável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Drift LLM em produção</w:t>
            </w:r>
          </w:p>
        </w:tc>
        <w:tc>
          <w:tcPr/>
          <w:p>
            <w:pPr>
              <w:pStyle w:val="Compact"/>
            </w:pPr>
            <w:r>
              <w:t xml:space="preserve">Healthcheck + diff de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RLS bypass via service_role em edge functions</w:t>
            </w:r>
          </w:p>
        </w:tc>
        <w:tc>
          <w:tcPr/>
          <w:p>
            <w:pPr>
              <w:pStyle w:val="Compact"/>
            </w:pPr>
            <w:r>
              <w:t xml:space="preserve">Auditoria periódica de uso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roadmap-p0p3"/>
    <w:p>
      <w:pPr>
        <w:pStyle w:val="Heading2"/>
      </w:pPr>
      <w:r>
        <w:t xml:space="preserve">24. Roadmap P0–P3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P0 (próximas 4 semanas):</w:t>
      </w:r>
      <w:r>
        <w:t xml:space="preserve"> </w:t>
      </w:r>
      <w:r>
        <w:t xml:space="preserve">PCCP formal escrito; species_constraint enforcement; base L1-L3 assistida.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P1 (próximo trimestre):</w:t>
      </w:r>
      <w:r>
        <w:t xml:space="preserve"> </w:t>
      </w:r>
      <w:r>
        <w:t xml:space="preserve">consolidar embeddings, CE module, completar Gompertz, framework de bias audit.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P2:</w:t>
      </w:r>
      <w:r>
        <w:t xml:space="preserve"> </w:t>
      </w:r>
      <w:r>
        <w:t xml:space="preserve">Europe PMC/bioRxiv, batch approval na curadoria.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P3:</w:t>
      </w:r>
      <w:r>
        <w:t xml:space="preserve"> </w:t>
      </w:r>
      <w:r>
        <w:t xml:space="preserve">VLM figuras, MedQA-style eval.</w:t>
      </w:r>
    </w:p>
    <w:p>
      <w:r>
        <w:pict>
          <v:rect style="width:0;height:1.5pt" o:hralign="center" o:hrstd="t" o:hr="t"/>
        </w:pict>
      </w:r>
    </w:p>
    <w:bookmarkEnd w:id="53"/>
    <w:bookmarkStart w:id="54" w:name="apêndice-a-schema-sql-principal"/>
    <w:p>
      <w:pPr>
        <w:pStyle w:val="Heading2"/>
      </w:pPr>
      <w:r>
        <w:t xml:space="preserve">25. Apêndice A — Schema SQL principal</w:t>
      </w:r>
    </w:p>
    <w:p>
      <w:pPr>
        <w:pStyle w:val="SourceCode"/>
      </w:pPr>
      <w:r>
        <w:rPr>
          <w:rStyle w:val="CommentTok"/>
        </w:rPr>
        <w:t xml:space="preserve">-- Roles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app_role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'moderator'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user_roles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PK, user_id uuid → auth.users,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app_role);</w:t>
      </w:r>
      <w:r>
        <w:br/>
      </w:r>
      <w:r>
        <w:br/>
      </w:r>
      <w:r>
        <w:rPr>
          <w:rStyle w:val="CommentTok"/>
        </w:rPr>
        <w:t xml:space="preserve">-- KG espelho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triplet_extractions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PK, study_id uuid, subject_name text,</w:t>
      </w:r>
      <w:r>
        <w:br/>
      </w:r>
      <w:r>
        <w:rPr>
          <w:rStyle w:val="NormalTok"/>
        </w:rPr>
        <w:t xml:space="preserve">  predicate text, object_name text, confidence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 evidence_level text,</w:t>
      </w:r>
      <w:r>
        <w:br/>
      </w:r>
      <w:r>
        <w:rPr>
          <w:rStyle w:val="NormalTok"/>
        </w:rPr>
        <w:t xml:space="preserve">  curation_status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synced_to_neo4j bool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hierarchical_edges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PK, triplet_id uuid, source_type text,</w:t>
      </w:r>
      <w:r>
        <w:br/>
      </w:r>
      <w:r>
        <w:rPr>
          <w:rStyle w:val="NormalTok"/>
        </w:rPr>
        <w:t xml:space="preserve">  source_id uuid, target_type text, target_id uuid, relationship text,</w:t>
      </w:r>
      <w:r>
        <w:br/>
      </w:r>
      <w:r>
        <w:rPr>
          <w:rStyle w:val="NormalTok"/>
        </w:rPr>
        <w:t xml:space="preserve">  confidence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 evidence_count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evidence_level text);</w:t>
      </w:r>
      <w:r>
        <w:br/>
      </w:r>
      <w:r>
        <w:br/>
      </w:r>
      <w:r>
        <w:rPr>
          <w:rStyle w:val="CommentTok"/>
        </w:rPr>
        <w:t xml:space="preserve">-- Embeddings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study_embeddings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PK, study_id uuid, chunk_index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chunk_text text, embedding vector(</w:t>
      </w:r>
      <w:r>
        <w:rPr>
          <w:rStyle w:val="DecValTok"/>
        </w:rPr>
        <w:t xml:space="preserve">768</w:t>
      </w:r>
      <w:r>
        <w:rPr>
          <w:rStyle w:val="NormalTok"/>
        </w:rPr>
        <w:t xml:space="preserve">), chunk_metadata jsonb,</w:t>
      </w:r>
      <w:r>
        <w:br/>
      </w:r>
      <w:r>
        <w:rPr>
          <w:rStyle w:val="NormalTok"/>
        </w:rPr>
        <w:t xml:space="preserve">  embedding_model_version text);</w:t>
      </w:r>
      <w:r>
        <w:br/>
      </w:r>
      <w:r>
        <w:br/>
      </w:r>
      <w:r>
        <w:rPr>
          <w:rStyle w:val="CommentTok"/>
        </w:rPr>
        <w:t xml:space="preserve">-- Auditoria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technical_audits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PK, version text, audit_date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system_version text, system_changelog_date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text, html_path text,</w:t>
      </w:r>
      <w:r>
        <w:br/>
      </w:r>
      <w:r>
        <w:rPr>
          <w:rStyle w:val="NormalTok"/>
        </w:rPr>
        <w:t xml:space="preserve">  pdf_path text, docx_path text, </w:t>
      </w:r>
      <w:r>
        <w:rPr>
          <w:rStyle w:val="KeywordTok"/>
        </w:rPr>
        <w:t xml:space="preserve">summary</w:t>
      </w:r>
      <w:r>
        <w:rPr>
          <w:rStyle w:val="NormalTok"/>
        </w:rPr>
        <w:t xml:space="preserve"> jsonb, superseded_by text);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audit_requests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PK, 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text, system_version text,</w:t>
      </w:r>
      <w:r>
        <w:br/>
      </w:r>
      <w:r>
        <w:rPr>
          <w:rStyle w:val="NormalTok"/>
        </w:rPr>
        <w:t xml:space="preserve">  system_date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status text, fulfilled_audit_id text, requested_at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auto_triggered bool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audit_settings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bool PK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), change_threshold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watched_areas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'curation'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'kg'</w:t>
      </w:r>
      <w:r>
        <w:rPr>
          <w:rStyle w:val="NormalTok"/>
        </w:rPr>
        <w:t xml:space="preserve">,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.]);</w:t>
      </w:r>
      <w:r>
        <w:br/>
      </w:r>
      <w:r>
        <w:br/>
      </w:r>
      <w:r>
        <w:rPr>
          <w:rStyle w:val="CommentTok"/>
        </w:rPr>
        <w:t xml:space="preserve">-- Cohort insights com HITL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cohort_insights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vet_review_status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(vet_review_status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'needs_changes'</w:t>
      </w:r>
      <w:r>
        <w:rPr>
          <w:rStyle w:val="NormalTok"/>
        </w:rPr>
        <w:t xml:space="preserve">));</w:t>
      </w:r>
    </w:p>
    <w:p>
      <w:r>
        <w:pict>
          <v:rect style="width:0;height:1.5pt" o:hralign="center" o:hrstd="t" o:hr="t"/>
        </w:pict>
      </w:r>
    </w:p>
    <w:bookmarkEnd w:id="54"/>
    <w:bookmarkStart w:id="55" w:name="X19265adc5429e113837e1af30d41d55cb618548"/>
    <w:p>
      <w:pPr>
        <w:pStyle w:val="Heading2"/>
      </w:pPr>
      <w:r>
        <w:t xml:space="preserve">26. Apêndice B — Inventário de Edge Functions (67)</w:t>
      </w:r>
    </w:p>
    <w:p>
      <w:pPr>
        <w:pStyle w:val="FirstParagraph"/>
      </w:pPr>
      <w:r>
        <w:t xml:space="preserve">admin-create-user · ai-config · ai-task-healthcheck · ai-task-test · analyze-all-cohorts-patterns · analyze-cohort-patterns ★ · api-usage-stats · auto-tag-studies · backfill-triplet-enrichment · batch-reprocess-triplets · bulk-enrich-pet-food · calculate-recommendation-confidence · chat · chat-meta-study · check-cohort-originality · check-insight-originality · condition-insights · consolidate-knowledge-graph · download-study-pdf · enrich-triplet · enrichment-qa-sample · evaluate-meta-study-reliability · extract-pet-clinical-data · finalize-stalled-cohort · gemini-file-search · generate-meta-study-cover · import-canonical-ids · invoxia-api · kg-missing-triplets · parse-pet-exam-pdf · parse-study · perplexity-health · process-nutraceutical-spreadsheet · process-study · provider-health · query-perplexity · relations-auditor · run-translation-audit · suggest-cohort-ideas ★ · suggest-taxonomy-terms · sync-study-to-neo4j · sync-system-prompts · test-rag-similarity · translate-and-categorize-conditions · translate-conditions · translate-text · vectorize-study · web-dosage-lookup · …</w:t>
      </w:r>
    </w:p>
    <w:p>
      <w:pPr>
        <w:pStyle w:val="BodyText"/>
      </w:pPr>
      <w:r>
        <w:t xml:space="preserve">★ = endurecidas no período 18-27/05.</w:t>
      </w:r>
    </w:p>
    <w:p>
      <w:r>
        <w:pict>
          <v:rect style="width:0;height:1.5pt" o:hralign="center" o:hrstd="t" o:hr="t"/>
        </w:pict>
      </w:r>
    </w:p>
    <w:bookmarkEnd w:id="55"/>
    <w:bookmarkStart w:id="56" w:name="apêndice-c-prompts-e-modelos-llm"/>
    <w:p>
      <w:pPr>
        <w:pStyle w:val="Heading2"/>
      </w:pPr>
      <w:r>
        <w:t xml:space="preserve">27. Apêndice C — Prompts e modelos LLM</w:t>
      </w:r>
    </w:p>
    <w:p>
      <w:pPr>
        <w:pStyle w:val="FirstParagraph"/>
      </w:pPr>
      <w:r>
        <w:t xml:space="preserve">8 prompts versionados em</w:t>
      </w:r>
      <w:r>
        <w:t xml:space="preserve"> </w:t>
      </w:r>
      <w:r>
        <w:rPr>
          <w:rStyle w:val="VerbatimChar"/>
        </w:rPr>
        <w:t xml:space="preserve">ai_prompt_versions</w:t>
      </w:r>
      <w:r>
        <w:t xml:space="preserve"> </w:t>
      </w:r>
      <w:r>
        <w:t xml:space="preserve">com função</w:t>
      </w:r>
      <w:r>
        <w:t xml:space="preserve"> </w:t>
      </w:r>
      <w:r>
        <w:rPr>
          <w:rStyle w:val="VerbatimChar"/>
        </w:rPr>
        <w:t xml:space="preserve">activate_ai_prompt_version()</w:t>
      </w:r>
      <w:r>
        <w:t xml:space="preserve"> </w:t>
      </w:r>
      <w:r>
        <w:t xml:space="preserve">SECURITY DEFINER + trigger</w:t>
      </w:r>
      <w:r>
        <w:t xml:space="preserve"> </w:t>
      </w:r>
      <w:r>
        <w:rPr>
          <w:rStyle w:val="VerbatimChar"/>
        </w:rPr>
        <w:t xml:space="preserve">ai_prompt_versions_enforce_single_active</w:t>
      </w:r>
      <w:r>
        <w:t xml:space="preserve"> </w:t>
      </w:r>
      <w:r>
        <w:t xml:space="preserve">garantindo apenas 1 versão ativa por (task_id, model_id).</w:t>
      </w:r>
    </w:p>
    <w:p>
      <w:r>
        <w:pict>
          <v:rect style="width:0;height:1.5pt" o:hralign="center" o:hrstd="t" o:hr="t"/>
        </w:pict>
      </w:r>
    </w:p>
    <w:bookmarkEnd w:id="56"/>
    <w:bookmarkStart w:id="57" w:name="apêndice-d-métricas-operacionais"/>
    <w:p>
      <w:pPr>
        <w:pStyle w:val="Heading2"/>
      </w:pPr>
      <w:r>
        <w:t xml:space="preserve">28. Apêndice D — Métricas operacionais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18/05 (v5.1.0)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31/05 (v5.2.0)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 totais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 demo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Tabelas públicas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Functions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ativos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i18n_version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1.115.6</w:t>
            </w:r>
          </w:p>
        </w:tc>
        <w:tc>
          <w:tcPr/>
          <w:p>
            <w:pPr>
              <w:pStyle w:val="Compact"/>
            </w:pPr>
            <w:r>
              <w:t xml:space="preserve">+28.9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Triplets totais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Triplets aprovados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Triplets sincronizados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Hierarchical edges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38.643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Breed predispositions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ontology nodes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Studies processed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Chunks vetorizados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Auditorias técnicas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bibliografia-14"/>
    <w:p>
      <w:pPr>
        <w:pStyle w:val="Heading2"/>
      </w:pPr>
      <w:r>
        <w:t xml:space="preserve">29. Bibliografia (14)</w:t>
      </w:r>
    </w:p>
    <w:p>
      <w:pPr>
        <w:pStyle w:val="Compact"/>
        <w:numPr>
          <w:ilvl w:val="0"/>
          <w:numId w:val="1016"/>
        </w:numPr>
      </w:pPr>
      <w:r>
        <w:t xml:space="preserve">FDA.</w:t>
      </w:r>
      <w:r>
        <w:t xml:space="preserve"> </w:t>
      </w:r>
      <w:r>
        <w:rPr>
          <w:i/>
          <w:iCs/>
        </w:rPr>
        <w:t xml:space="preserve">Marketing Submission Recommendations for a Predetermined Change Control Plan for AI/ML-Enabled SaMD — Draft Guidance</w:t>
      </w:r>
      <w:r>
        <w:t xml:space="preserve">. Jan/2025.</w:t>
      </w:r>
    </w:p>
    <w:p>
      <w:pPr>
        <w:pStyle w:val="Compact"/>
        <w:numPr>
          <w:ilvl w:val="0"/>
          <w:numId w:val="1016"/>
        </w:numPr>
      </w:pPr>
      <w:r>
        <w:t xml:space="preserve">FDA / Health Canada / MHRA.</w:t>
      </w:r>
      <w:r>
        <w:t xml:space="preserve"> </w:t>
      </w:r>
      <w:r>
        <w:rPr>
          <w:i/>
          <w:iCs/>
        </w:rPr>
        <w:t xml:space="preserve">Good Machine Learning Practice for Medical Device Development: Guiding Principles</w:t>
      </w:r>
      <w:r>
        <w:t xml:space="preserve">. Out/2021 (rev. Jun/2025).</w:t>
      </w:r>
    </w:p>
    <w:p>
      <w:pPr>
        <w:pStyle w:val="Compact"/>
        <w:numPr>
          <w:ilvl w:val="0"/>
          <w:numId w:val="1016"/>
        </w:numPr>
      </w:pPr>
      <w:r>
        <w:t xml:space="preserve">EMA.</w:t>
      </w:r>
      <w:r>
        <w:t xml:space="preserve"> </w:t>
      </w:r>
      <w:r>
        <w:rPr>
          <w:i/>
          <w:iCs/>
        </w:rPr>
        <w:t xml:space="preserve">Reflection Paper on the Use of Artificial Intelligence in the Lifecycle of Medicines</w:t>
      </w:r>
      <w:r>
        <w:t xml:space="preserve">. Set/2024.</w:t>
      </w:r>
    </w:p>
    <w:p>
      <w:pPr>
        <w:pStyle w:val="Compact"/>
        <w:numPr>
          <w:ilvl w:val="0"/>
          <w:numId w:val="1016"/>
        </w:numPr>
      </w:pPr>
      <w:r>
        <w:t xml:space="preserve">European Parliament.</w:t>
      </w:r>
      <w:r>
        <w:t xml:space="preserve"> </w:t>
      </w:r>
      <w:r>
        <w:rPr>
          <w:i/>
          <w:iCs/>
        </w:rPr>
        <w:t xml:space="preserve">Regulation (EU) 2024/1689 on Artificial Intelligence (EU AI Act)</w:t>
      </w:r>
      <w:r>
        <w:t xml:space="preserve">. Mar/2024.</w:t>
      </w:r>
    </w:p>
    <w:p>
      <w:pPr>
        <w:pStyle w:val="Compact"/>
        <w:numPr>
          <w:ilvl w:val="0"/>
          <w:numId w:val="1016"/>
        </w:numPr>
      </w:pPr>
      <w:r>
        <w:t xml:space="preserve">AVMA.</w:t>
      </w:r>
      <w:r>
        <w:t xml:space="preserve"> </w:t>
      </w:r>
      <w:r>
        <w:rPr>
          <w:i/>
          <w:iCs/>
        </w:rPr>
        <w:t xml:space="preserve">Position Statement on Veterinary Use of Artificial Intelligence</w:t>
      </w:r>
      <w:r>
        <w:t xml:space="preserve">. Nov/2025.</w:t>
      </w:r>
    </w:p>
    <w:p>
      <w:pPr>
        <w:pStyle w:val="Compact"/>
        <w:numPr>
          <w:ilvl w:val="0"/>
          <w:numId w:val="1016"/>
        </w:numPr>
      </w:pPr>
      <w:r>
        <w:t xml:space="preserve">Wu et al. </w:t>
      </w:r>
      <w:r>
        <w:rPr>
          <w:i/>
          <w:iCs/>
        </w:rPr>
        <w:t xml:space="preserve">MedGraphRAG: A Knowledge Graph-Enhanced RAG for Medical Question Answering</w:t>
      </w:r>
      <w:r>
        <w:t xml:space="preserve">. 2024.</w:t>
      </w:r>
    </w:p>
    <w:p>
      <w:pPr>
        <w:pStyle w:val="Compact"/>
        <w:numPr>
          <w:ilvl w:val="0"/>
          <w:numId w:val="1016"/>
        </w:numPr>
      </w:pPr>
      <w:r>
        <w:t xml:space="preserve">Edge et al. </w:t>
      </w:r>
      <w:r>
        <w:rPr>
          <w:i/>
          <w:iCs/>
        </w:rPr>
        <w:t xml:space="preserve">From Local to Global: A GraphRAG Approach to Query-Focused Summarization</w:t>
      </w:r>
      <w:r>
        <w:t xml:space="preserve">. Microsoft Research, 2024.</w:t>
      </w:r>
    </w:p>
    <w:p>
      <w:pPr>
        <w:pStyle w:val="Compact"/>
        <w:numPr>
          <w:ilvl w:val="0"/>
          <w:numId w:val="1016"/>
        </w:numPr>
      </w:pPr>
      <w:r>
        <w:t xml:space="preserve">Gompertz B.</w:t>
      </w:r>
      <w:r>
        <w:t xml:space="preserve"> </w:t>
      </w:r>
      <w:r>
        <w:rPr>
          <w:i/>
          <w:iCs/>
        </w:rPr>
        <w:t xml:space="preserve">On the Nature of the Function Expressive of the Law of Human Mortality</w:t>
      </w:r>
      <w:r>
        <w:t xml:space="preserve">. Phil. Trans. R. Soc. 1825.</w:t>
      </w:r>
    </w:p>
    <w:p>
      <w:pPr>
        <w:pStyle w:val="Compact"/>
        <w:numPr>
          <w:ilvl w:val="0"/>
          <w:numId w:val="1016"/>
        </w:numPr>
      </w:pPr>
      <w:r>
        <w:t xml:space="preserve">SNOMED International.</w:t>
      </w:r>
      <w:r>
        <w:t xml:space="preserve"> </w:t>
      </w:r>
      <w:r>
        <w:rPr>
          <w:i/>
          <w:iCs/>
        </w:rPr>
        <w:t xml:space="preserve">SNOMED CT Veterinary Extension (VetSCT)</w:t>
      </w:r>
      <w:r>
        <w:t xml:space="preserve">. 2025.</w:t>
      </w:r>
    </w:p>
    <w:p>
      <w:pPr>
        <w:pStyle w:val="Compact"/>
        <w:numPr>
          <w:ilvl w:val="0"/>
          <w:numId w:val="1016"/>
        </w:numPr>
      </w:pPr>
      <w:r>
        <w:t xml:space="preserve">National Library of Medicine.</w:t>
      </w:r>
      <w:r>
        <w:t xml:space="preserve"> </w:t>
      </w:r>
      <w:r>
        <w:rPr>
          <w:i/>
          <w:iCs/>
        </w:rPr>
        <w:t xml:space="preserve">Unified Medical Language System (UMLS) Reference Manual</w:t>
      </w:r>
      <w:r>
        <w:t xml:space="preserve">. 2024.</w:t>
      </w:r>
    </w:p>
    <w:p>
      <w:pPr>
        <w:pStyle w:val="Compact"/>
        <w:numPr>
          <w:ilvl w:val="0"/>
          <w:numId w:val="1016"/>
        </w:numPr>
      </w:pPr>
      <w:r>
        <w:t xml:space="preserve">Salvi et al. </w:t>
      </w:r>
      <w:r>
        <w:rPr>
          <w:i/>
          <w:iCs/>
        </w:rPr>
        <w:t xml:space="preserve">PubMed E-utilities for Programmatic Literature Mining</w:t>
      </w:r>
      <w:r>
        <w:t xml:space="preserve">. 2023.</w:t>
      </w:r>
    </w:p>
    <w:p>
      <w:pPr>
        <w:pStyle w:val="Compact"/>
        <w:numPr>
          <w:ilvl w:val="0"/>
          <w:numId w:val="1016"/>
        </w:numPr>
      </w:pPr>
      <w:r>
        <w:t xml:space="preserve">Lewis et al. </w:t>
      </w:r>
      <w:r>
        <w:rPr>
          <w:i/>
          <w:iCs/>
        </w:rPr>
        <w:t xml:space="preserve">Retrieval-Augmented Generation for Knowledge-Intensive NLP Tasks</w:t>
      </w:r>
      <w:r>
        <w:t xml:space="preserve">. NeurIPS 2020.</w:t>
      </w:r>
    </w:p>
    <w:p>
      <w:pPr>
        <w:pStyle w:val="Compact"/>
        <w:numPr>
          <w:ilvl w:val="0"/>
          <w:numId w:val="1016"/>
        </w:numPr>
      </w:pPr>
      <w:r>
        <w:t xml:space="preserve">AAVSB.</w:t>
      </w:r>
      <w:r>
        <w:t xml:space="preserve"> </w:t>
      </w:r>
      <w:r>
        <w:rPr>
          <w:i/>
          <w:iCs/>
        </w:rPr>
        <w:t xml:space="preserve">AI in Veterinary Practice: Recommendations for Regulatory Boards</w:t>
      </w:r>
      <w:r>
        <w:t xml:space="preserve">. 2025.</w:t>
      </w:r>
    </w:p>
    <w:p>
      <w:pPr>
        <w:pStyle w:val="Compact"/>
        <w:numPr>
          <w:ilvl w:val="0"/>
          <w:numId w:val="1016"/>
        </w:numPr>
      </w:pPr>
      <w:r>
        <w:t xml:space="preserve">OpenAI / Anthropic / Google.</w:t>
      </w:r>
      <w:r>
        <w:t xml:space="preserve"> </w:t>
      </w:r>
      <w:r>
        <w:rPr>
          <w:i/>
          <w:iCs/>
        </w:rPr>
        <w:t xml:space="preserve">Model cards for GPT-5.4, Claude Sonnet 4.5, Gemini 3.1 Pro Preview</w:t>
      </w:r>
      <w:r>
        <w:t xml:space="preserve">. 2025–2026.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standalone gerado em 31/05/2026 pelo lovable-agent (paridade V3 cumulativa). Substitui v5.1.0 (</w:t>
      </w:r>
      <w:r>
        <w:rPr>
          <w:rStyle w:val="VerbatimChar"/>
          <w:i/>
          <w:iCs/>
        </w:rPr>
        <w:t xml:space="preserve">superseded_by</w:t>
      </w:r>
      <w:r>
        <w:rPr>
          <w:i/>
          <w:iCs/>
        </w:rPr>
        <w:t xml:space="preserve">). Próxima auditoria será disparada manualmente ou automaticamente quando ≥6 mudanças em áreas críticas (curation, kg, clinical-pipeline, infra, base-knowledge) forem detectadas no CHANGELOG.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Auditoria Técnica Senex AI — v5.2.0</dc:title>
  <dc:creator>lovable-agent · paridade V3 · cumulativa</dc:creator>
  <cp:keywords/>
  <dcterms:created xsi:type="dcterms:W3CDTF">2026-05-31T03:17:06Z</dcterms:created>
  <dcterms:modified xsi:type="dcterms:W3CDTF">2026-05-31T03:17:06Z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2026-05-31</vt:lpwstr>
  </property>
</Properties>
</file>