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04E" w:rsidRPr="0058404E" w:rsidRDefault="0058404E" w:rsidP="002F76F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sz w:val="28"/>
          <w:szCs w:val="28"/>
        </w:rPr>
        <w:t>GEORGIA HIGHLANDS COLLEGE</w:t>
      </w:r>
    </w:p>
    <w:p w:rsidR="002F76FA" w:rsidRPr="00B52278" w:rsidRDefault="002F76FA" w:rsidP="002F76F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B52278">
        <w:rPr>
          <w:rFonts w:ascii="Arial" w:eastAsia="Times New Roman" w:hAnsi="Arial" w:cs="Arial"/>
          <w:b/>
          <w:bCs/>
          <w:sz w:val="24"/>
          <w:szCs w:val="24"/>
        </w:rPr>
        <w:t>High School and College for Students with Disabilities:</w:t>
      </w:r>
    </w:p>
    <w:p w:rsidR="002F76FA" w:rsidRDefault="002F76FA" w:rsidP="002F76FA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B52278">
        <w:rPr>
          <w:rFonts w:ascii="Arial" w:eastAsia="Times New Roman" w:hAnsi="Arial" w:cs="Arial"/>
          <w:b/>
          <w:bCs/>
          <w:sz w:val="24"/>
          <w:szCs w:val="24"/>
        </w:rPr>
        <w:t>Key Differences</w:t>
      </w:r>
    </w:p>
    <w:tbl>
      <w:tblPr>
        <w:tblW w:w="9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1"/>
        <w:gridCol w:w="53"/>
        <w:gridCol w:w="16"/>
        <w:gridCol w:w="4510"/>
      </w:tblGrid>
      <w:tr w:rsidR="002F76FA" w:rsidRPr="00B52278" w:rsidTr="005262C0">
        <w:trPr>
          <w:trHeight w:val="75"/>
          <w:tblCellSpacing w:w="0" w:type="dxa"/>
          <w:jc w:val="center"/>
        </w:trPr>
        <w:tc>
          <w:tcPr>
            <w:tcW w:w="44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2278" w:rsidRPr="00B52278" w:rsidRDefault="002F76FA" w:rsidP="005262C0">
            <w:pPr>
              <w:spacing w:before="100" w:beforeAutospacing="1" w:after="100" w:afterAutospacing="1" w:line="75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  </w:t>
            </w:r>
            <w:r w:rsidRPr="00B522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HIGH SCHOOL</w:t>
            </w:r>
          </w:p>
        </w:tc>
        <w:tc>
          <w:tcPr>
            <w:tcW w:w="452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2278" w:rsidRPr="00B52278" w:rsidRDefault="002F76FA" w:rsidP="005262C0">
            <w:pPr>
              <w:spacing w:before="100" w:beforeAutospacing="1" w:after="100" w:afterAutospacing="1" w:line="75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COLLEGE</w:t>
            </w:r>
          </w:p>
        </w:tc>
      </w:tr>
      <w:tr w:rsidR="002F76FA" w:rsidRPr="00B52278" w:rsidTr="005262C0">
        <w:trPr>
          <w:trHeight w:val="510"/>
          <w:tblCellSpacing w:w="0" w:type="dxa"/>
          <w:jc w:val="center"/>
        </w:trPr>
        <w:tc>
          <w:tcPr>
            <w:tcW w:w="900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2278" w:rsidRPr="00B52278" w:rsidRDefault="002F76FA" w:rsidP="005262C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Applicable Laws</w:t>
            </w:r>
          </w:p>
        </w:tc>
      </w:tr>
      <w:tr w:rsidR="002F76FA" w:rsidRPr="00B52278" w:rsidTr="005262C0">
        <w:trPr>
          <w:trHeight w:val="540"/>
          <w:tblCellSpacing w:w="0" w:type="dxa"/>
          <w:jc w:val="center"/>
        </w:trPr>
        <w:tc>
          <w:tcPr>
            <w:tcW w:w="44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Individuals with Disabilities Education Act (IDEA)</w:t>
            </w:r>
          </w:p>
        </w:tc>
        <w:tc>
          <w:tcPr>
            <w:tcW w:w="452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Americans with Disabilities Act of 1990 (ADA),   Title II</w:t>
            </w:r>
          </w:p>
        </w:tc>
      </w:tr>
      <w:tr w:rsidR="002F76FA" w:rsidRPr="00B52278" w:rsidTr="005262C0">
        <w:trPr>
          <w:trHeight w:val="810"/>
          <w:tblCellSpacing w:w="0" w:type="dxa"/>
          <w:jc w:val="center"/>
        </w:trPr>
        <w:tc>
          <w:tcPr>
            <w:tcW w:w="44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2278" w:rsidRPr="00B52278" w:rsidRDefault="002F76FA" w:rsidP="005262C0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2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Section 504 Subpart E of the Rehabilitation Act</w:t>
            </w:r>
          </w:p>
        </w:tc>
      </w:tr>
      <w:tr w:rsidR="002F76FA" w:rsidRPr="00B52278" w:rsidTr="005262C0">
        <w:trPr>
          <w:trHeight w:val="270"/>
          <w:tblCellSpacing w:w="0" w:type="dxa"/>
          <w:jc w:val="center"/>
        </w:trPr>
        <w:tc>
          <w:tcPr>
            <w:tcW w:w="44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IDEA is about SUCCESS in school</w:t>
            </w:r>
          </w:p>
        </w:tc>
        <w:tc>
          <w:tcPr>
            <w:tcW w:w="452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ADA and 504 are about ACCESS, success is up to the student</w:t>
            </w:r>
          </w:p>
        </w:tc>
      </w:tr>
      <w:tr w:rsidR="002F76FA" w:rsidRPr="00B52278" w:rsidTr="005262C0">
        <w:trPr>
          <w:trHeight w:val="810"/>
          <w:tblCellSpacing w:w="0" w:type="dxa"/>
          <w:jc w:val="center"/>
        </w:trPr>
        <w:tc>
          <w:tcPr>
            <w:tcW w:w="900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2278" w:rsidRPr="00B52278" w:rsidRDefault="002F76FA" w:rsidP="005262C0">
            <w:pPr>
              <w:spacing w:after="0" w:line="240" w:lineRule="auto"/>
              <w:ind w:left="72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Required Documentation</w:t>
            </w:r>
          </w:p>
        </w:tc>
      </w:tr>
      <w:tr w:rsidR="002F76FA" w:rsidRPr="00B52278" w:rsidTr="005262C0">
        <w:trPr>
          <w:trHeight w:val="1080"/>
          <w:tblCellSpacing w:w="0" w:type="dxa"/>
          <w:jc w:val="center"/>
        </w:trPr>
        <w:tc>
          <w:tcPr>
            <w:tcW w:w="44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Individualized Education Program (IEP) and/or 504 Plan</w:t>
            </w:r>
          </w:p>
        </w:tc>
        <w:tc>
          <w:tcPr>
            <w:tcW w:w="452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High school IEP and 504 Plans expire after high school and are not sufficient.  Documentation guidelines specify information needed for each category or disability</w:t>
            </w:r>
          </w:p>
        </w:tc>
      </w:tr>
      <w:tr w:rsidR="002F76FA" w:rsidRPr="00B52278" w:rsidTr="005262C0">
        <w:trPr>
          <w:trHeight w:val="540"/>
          <w:tblCellSpacing w:w="0" w:type="dxa"/>
          <w:jc w:val="center"/>
        </w:trPr>
        <w:tc>
          <w:tcPr>
            <w:tcW w:w="44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School provides evaluation at no cost</w:t>
            </w:r>
          </w:p>
        </w:tc>
        <w:tc>
          <w:tcPr>
            <w:tcW w:w="452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Students must get evaluation at their own expense</w:t>
            </w:r>
          </w:p>
        </w:tc>
      </w:tr>
      <w:tr w:rsidR="002F76FA" w:rsidRPr="00B52278" w:rsidTr="005262C0">
        <w:trPr>
          <w:trHeight w:val="1080"/>
          <w:tblCellSpacing w:w="0" w:type="dxa"/>
          <w:jc w:val="center"/>
        </w:trPr>
        <w:tc>
          <w:tcPr>
            <w:tcW w:w="44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Documentation focuses on determining if student is eligible for services under one or more disability categories in IDEA</w:t>
            </w:r>
          </w:p>
        </w:tc>
        <w:tc>
          <w:tcPr>
            <w:tcW w:w="452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Documentation must provide information on specific functional limitations and demonstrate the need for specific accommodations</w:t>
            </w:r>
          </w:p>
        </w:tc>
      </w:tr>
      <w:tr w:rsidR="002F76FA" w:rsidRPr="00B52278" w:rsidTr="005262C0">
        <w:trPr>
          <w:trHeight w:val="810"/>
          <w:tblCellSpacing w:w="0" w:type="dxa"/>
          <w:jc w:val="center"/>
        </w:trPr>
        <w:tc>
          <w:tcPr>
            <w:tcW w:w="900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2278" w:rsidRPr="00B52278" w:rsidRDefault="002F76FA" w:rsidP="005262C0">
            <w:pPr>
              <w:spacing w:before="100" w:beforeAutospacing="1" w:after="100" w:afterAutospacing="1" w:line="240" w:lineRule="auto"/>
              <w:ind w:left="72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Self – Advocacy</w:t>
            </w:r>
          </w:p>
        </w:tc>
      </w:tr>
      <w:tr w:rsidR="002F76FA" w:rsidRPr="00B52278" w:rsidTr="005262C0">
        <w:trPr>
          <w:trHeight w:val="525"/>
          <w:tblCellSpacing w:w="0" w:type="dxa"/>
          <w:jc w:val="center"/>
        </w:trPr>
        <w:tc>
          <w:tcPr>
            <w:tcW w:w="44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School staff identify the student as having a disability</w:t>
            </w:r>
          </w:p>
        </w:tc>
        <w:tc>
          <w:tcPr>
            <w:tcW w:w="452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Student must self-identify to Disability Support Services staff</w:t>
            </w:r>
          </w:p>
        </w:tc>
      </w:tr>
      <w:tr w:rsidR="002F76FA" w:rsidRPr="00B52278" w:rsidTr="005262C0">
        <w:trPr>
          <w:trHeight w:val="525"/>
          <w:tblCellSpacing w:w="0" w:type="dxa"/>
          <w:jc w:val="center"/>
        </w:trPr>
        <w:tc>
          <w:tcPr>
            <w:tcW w:w="44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School staff has primary responsibility for arranging accommodations.</w:t>
            </w:r>
          </w:p>
        </w:tc>
        <w:tc>
          <w:tcPr>
            <w:tcW w:w="452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Student has responsibility for self-advocacy and arranging accommodations with staff of Student Support Services</w:t>
            </w:r>
          </w:p>
        </w:tc>
      </w:tr>
      <w:tr w:rsidR="002F76FA" w:rsidRPr="00B52278" w:rsidTr="005262C0">
        <w:trPr>
          <w:trHeight w:val="525"/>
          <w:tblCellSpacing w:w="0" w:type="dxa"/>
          <w:jc w:val="center"/>
        </w:trPr>
        <w:tc>
          <w:tcPr>
            <w:tcW w:w="447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Teachers approach you if they believe you need assistance.</w:t>
            </w:r>
          </w:p>
        </w:tc>
        <w:tc>
          <w:tcPr>
            <w:tcW w:w="4526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 xml:space="preserve">Professors can be open and helpful, but most expect students to initiate contact at the start of the </w:t>
            </w:r>
            <w:r w:rsidRPr="00B522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semester.</w:t>
            </w:r>
          </w:p>
        </w:tc>
      </w:tr>
      <w:tr w:rsidR="002F76FA" w:rsidRPr="00B52278" w:rsidTr="005E2493">
        <w:trPr>
          <w:trHeight w:val="720"/>
          <w:tblCellSpacing w:w="0" w:type="dxa"/>
          <w:jc w:val="center"/>
        </w:trPr>
        <w:tc>
          <w:tcPr>
            <w:tcW w:w="900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2278" w:rsidRPr="00B52278" w:rsidRDefault="002F76FA" w:rsidP="005E2493">
            <w:pPr>
              <w:spacing w:before="100" w:beforeAutospacing="1" w:after="0" w:line="240" w:lineRule="auto"/>
              <w:ind w:left="72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lastRenderedPageBreak/>
              <w:t>Parental  Role</w:t>
            </w:r>
          </w:p>
        </w:tc>
      </w:tr>
      <w:tr w:rsidR="002F76FA" w:rsidRPr="00B52278" w:rsidTr="005262C0">
        <w:trPr>
          <w:trHeight w:val="75"/>
          <w:tblCellSpacing w:w="0" w:type="dxa"/>
          <w:jc w:val="center"/>
        </w:trPr>
        <w:tc>
          <w:tcPr>
            <w:tcW w:w="4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2278" w:rsidRPr="00B52278" w:rsidRDefault="002F76FA" w:rsidP="005262C0">
            <w:pPr>
              <w:spacing w:before="100" w:beforeAutospacing="1" w:after="100" w:afterAutospacing="1" w:line="75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HIGH SCHOOL</w:t>
            </w:r>
          </w:p>
        </w:tc>
        <w:tc>
          <w:tcPr>
            <w:tcW w:w="457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2278" w:rsidRPr="00B52278" w:rsidRDefault="002F76FA" w:rsidP="005262C0">
            <w:pPr>
              <w:spacing w:before="100" w:beforeAutospacing="1" w:after="100" w:afterAutospacing="1" w:line="75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COLLEGE</w:t>
            </w:r>
          </w:p>
        </w:tc>
      </w:tr>
      <w:tr w:rsidR="002F76FA" w:rsidRPr="00B52278" w:rsidTr="005262C0">
        <w:trPr>
          <w:tblCellSpacing w:w="0" w:type="dxa"/>
          <w:jc w:val="center"/>
        </w:trPr>
        <w:tc>
          <w:tcPr>
            <w:tcW w:w="4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Parent has access to student records and can  participate in the accommodation process</w:t>
            </w:r>
          </w:p>
        </w:tc>
        <w:tc>
          <w:tcPr>
            <w:tcW w:w="457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Parent does not have access to student records and cannot represent the student without the student’s written consent</w:t>
            </w:r>
          </w:p>
        </w:tc>
      </w:tr>
      <w:tr w:rsidR="002F76FA" w:rsidRPr="00B52278" w:rsidTr="005262C0">
        <w:trPr>
          <w:tblCellSpacing w:w="0" w:type="dxa"/>
          <w:jc w:val="center"/>
        </w:trPr>
        <w:tc>
          <w:tcPr>
            <w:tcW w:w="4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Parent advocates for the student</w:t>
            </w:r>
          </w:p>
        </w:tc>
        <w:tc>
          <w:tcPr>
            <w:tcW w:w="457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2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Student advocates for self</w:t>
            </w:r>
          </w:p>
        </w:tc>
      </w:tr>
      <w:tr w:rsidR="002F76FA" w:rsidRPr="00B52278" w:rsidTr="005E2493">
        <w:trPr>
          <w:trHeight w:val="720"/>
          <w:tblCellSpacing w:w="0" w:type="dxa"/>
          <w:jc w:val="center"/>
        </w:trPr>
        <w:tc>
          <w:tcPr>
            <w:tcW w:w="900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404E" w:rsidRPr="00B52278" w:rsidRDefault="002F76FA" w:rsidP="005E2493">
            <w:pPr>
              <w:spacing w:before="100" w:beforeAutospacing="1" w:after="0" w:line="240" w:lineRule="auto"/>
              <w:ind w:left="72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Instruction</w:t>
            </w:r>
          </w:p>
        </w:tc>
      </w:tr>
      <w:tr w:rsidR="002F76FA" w:rsidRPr="00B52278" w:rsidTr="005262C0">
        <w:trPr>
          <w:tblCellSpacing w:w="0" w:type="dxa"/>
          <w:jc w:val="center"/>
        </w:trPr>
        <w:tc>
          <w:tcPr>
            <w:tcW w:w="4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2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Teachers may modify curriculum and alter assignments as outlined in IEP</w:t>
            </w:r>
          </w:p>
        </w:tc>
        <w:tc>
          <w:tcPr>
            <w:tcW w:w="457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2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Professors are not required to modify design or alter assignment deadlines</w:t>
            </w:r>
          </w:p>
        </w:tc>
      </w:tr>
      <w:tr w:rsidR="002F76FA" w:rsidRPr="00B52278" w:rsidTr="005262C0">
        <w:trPr>
          <w:tblCellSpacing w:w="0" w:type="dxa"/>
          <w:jc w:val="center"/>
        </w:trPr>
        <w:tc>
          <w:tcPr>
            <w:tcW w:w="4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2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Students are expected to read short assignments that are discussed  and often re-taught in class</w:t>
            </w:r>
          </w:p>
        </w:tc>
        <w:tc>
          <w:tcPr>
            <w:tcW w:w="457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Students are assigned substantial amounts of reading and writing which may not be directly addressed in class</w:t>
            </w:r>
          </w:p>
        </w:tc>
      </w:tr>
      <w:tr w:rsidR="002F76FA" w:rsidRPr="00B52278" w:rsidTr="005262C0">
        <w:trPr>
          <w:tblCellSpacing w:w="0" w:type="dxa"/>
          <w:jc w:val="center"/>
        </w:trPr>
        <w:tc>
          <w:tcPr>
            <w:tcW w:w="4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Students seldom </w:t>
            </w: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need to read assignments more than once, often listening in class is enough</w:t>
            </w:r>
          </w:p>
        </w:tc>
        <w:tc>
          <w:tcPr>
            <w:tcW w:w="457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2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Students need to regularly review class notes and text material</w:t>
            </w:r>
          </w:p>
        </w:tc>
      </w:tr>
      <w:tr w:rsidR="002F76FA" w:rsidRPr="00B52278" w:rsidTr="005E2493">
        <w:trPr>
          <w:trHeight w:val="720"/>
          <w:tblCellSpacing w:w="0" w:type="dxa"/>
          <w:jc w:val="center"/>
        </w:trPr>
        <w:tc>
          <w:tcPr>
            <w:tcW w:w="900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8404E" w:rsidRPr="00B52278" w:rsidRDefault="002F76FA" w:rsidP="005E2493">
            <w:pPr>
              <w:spacing w:before="100" w:beforeAutospacing="1" w:after="0" w:line="240" w:lineRule="auto"/>
              <w:ind w:left="72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Grades and Tests</w:t>
            </w:r>
          </w:p>
        </w:tc>
      </w:tr>
      <w:tr w:rsidR="002F76FA" w:rsidRPr="00B52278" w:rsidTr="005262C0">
        <w:trPr>
          <w:tblCellSpacing w:w="0" w:type="dxa"/>
          <w:jc w:val="center"/>
        </w:trPr>
        <w:tc>
          <w:tcPr>
            <w:tcW w:w="4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2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IEP or 504 plan may include modifications to test format or grading</w:t>
            </w:r>
          </w:p>
        </w:tc>
        <w:tc>
          <w:tcPr>
            <w:tcW w:w="457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2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 xml:space="preserve">Grading and test format changes (e.g.., multiple choice vs. essay)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are generally not available.  </w:t>
            </w: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Accommodations in HOW tests are given (e.g., extended time, test proctors) are availab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le when supported by disability </w:t>
            </w: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documentation.</w:t>
            </w:r>
          </w:p>
        </w:tc>
      </w:tr>
      <w:tr w:rsidR="002F76FA" w:rsidRPr="00B52278" w:rsidTr="005262C0">
        <w:trPr>
          <w:tblCellSpacing w:w="0" w:type="dxa"/>
          <w:jc w:val="center"/>
        </w:trPr>
        <w:tc>
          <w:tcPr>
            <w:tcW w:w="4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3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Testing frequently covers only small amounts of material</w:t>
            </w:r>
          </w:p>
        </w:tc>
        <w:tc>
          <w:tcPr>
            <w:tcW w:w="457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3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Testing is generally periodic and may be cumulative, covering large amounts of material</w:t>
            </w:r>
          </w:p>
        </w:tc>
      </w:tr>
      <w:tr w:rsidR="002F76FA" w:rsidRPr="00B52278" w:rsidTr="005262C0">
        <w:trPr>
          <w:tblCellSpacing w:w="0" w:type="dxa"/>
          <w:jc w:val="center"/>
        </w:trPr>
        <w:tc>
          <w:tcPr>
            <w:tcW w:w="4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Makeup tests are usually available</w:t>
            </w:r>
          </w:p>
        </w:tc>
        <w:tc>
          <w:tcPr>
            <w:tcW w:w="457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3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Makeup tests are seldom an option; if they are, students are responsible for requesting them in advance</w:t>
            </w:r>
          </w:p>
        </w:tc>
      </w:tr>
      <w:tr w:rsidR="002F76FA" w:rsidRPr="00B52278" w:rsidTr="005262C0">
        <w:trPr>
          <w:tblCellSpacing w:w="0" w:type="dxa"/>
          <w:jc w:val="center"/>
        </w:trPr>
        <w:tc>
          <w:tcPr>
            <w:tcW w:w="44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3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 xml:space="preserve">Teachers often take time to remind students of assignments </w:t>
            </w:r>
            <w:r w:rsidRPr="00B522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and due dates</w:t>
            </w:r>
          </w:p>
        </w:tc>
        <w:tc>
          <w:tcPr>
            <w:tcW w:w="457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3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Professors expect students to read, save, and consult the course </w:t>
            </w:r>
            <w:r w:rsidRPr="00B522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syllabus that describes course expectations, assignments and grading scale</w:t>
            </w:r>
          </w:p>
        </w:tc>
      </w:tr>
      <w:tr w:rsidR="002F76FA" w:rsidRPr="00B52278" w:rsidTr="005E2493">
        <w:trPr>
          <w:trHeight w:val="720"/>
          <w:tblCellSpacing w:w="0" w:type="dxa"/>
          <w:jc w:val="center"/>
        </w:trPr>
        <w:tc>
          <w:tcPr>
            <w:tcW w:w="900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2278" w:rsidRPr="00B52278" w:rsidRDefault="002F76FA" w:rsidP="005E2493">
            <w:pPr>
              <w:spacing w:before="100" w:beforeAutospacing="1" w:after="0" w:line="240" w:lineRule="auto"/>
              <w:ind w:left="72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</w:t>
            </w:r>
            <w:r w:rsidRPr="00B52278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Study Responsibilities</w:t>
            </w:r>
          </w:p>
        </w:tc>
      </w:tr>
      <w:tr w:rsidR="002F76FA" w:rsidRPr="00B52278" w:rsidTr="005262C0">
        <w:trPr>
          <w:trHeight w:val="75"/>
          <w:tblCellSpacing w:w="0" w:type="dxa"/>
          <w:jc w:val="center"/>
        </w:trPr>
        <w:tc>
          <w:tcPr>
            <w:tcW w:w="449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2278" w:rsidRPr="00B52278" w:rsidRDefault="002F76FA" w:rsidP="005262C0">
            <w:pPr>
              <w:spacing w:before="100" w:beforeAutospacing="1" w:after="100" w:afterAutospacing="1" w:line="75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HIGH SCHOOL</w:t>
            </w:r>
          </w:p>
        </w:tc>
        <w:tc>
          <w:tcPr>
            <w:tcW w:w="4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2278" w:rsidRPr="00B52278" w:rsidRDefault="002F76FA" w:rsidP="005262C0">
            <w:pPr>
              <w:spacing w:before="100" w:beforeAutospacing="1" w:after="100" w:afterAutospacing="1" w:line="75" w:lineRule="atLeast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COLLEGE</w:t>
            </w:r>
          </w:p>
        </w:tc>
      </w:tr>
      <w:tr w:rsidR="002F76FA" w:rsidRPr="00B52278" w:rsidTr="005262C0">
        <w:trPr>
          <w:tblCellSpacing w:w="0" w:type="dxa"/>
          <w:jc w:val="center"/>
        </w:trPr>
        <w:tc>
          <w:tcPr>
            <w:tcW w:w="449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3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Tutoring and study support may be a service provided as part of an IEP or 504 plan</w:t>
            </w:r>
          </w:p>
        </w:tc>
        <w:tc>
          <w:tcPr>
            <w:tcW w:w="4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3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Tutoring DOES NOT fall under Disability Services.  Students with disabilities must seek out tutoring resources available to all college students.</w:t>
            </w:r>
          </w:p>
        </w:tc>
      </w:tr>
      <w:tr w:rsidR="002F76FA" w:rsidRPr="00B52278" w:rsidTr="005262C0">
        <w:trPr>
          <w:tblCellSpacing w:w="0" w:type="dxa"/>
          <w:jc w:val="center"/>
        </w:trPr>
        <w:tc>
          <w:tcPr>
            <w:tcW w:w="449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3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School staff often structure students’ time and expected assignments</w:t>
            </w:r>
          </w:p>
        </w:tc>
        <w:tc>
          <w:tcPr>
            <w:tcW w:w="4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Students structure their own time and assignments</w:t>
            </w:r>
          </w:p>
        </w:tc>
      </w:tr>
      <w:tr w:rsidR="002F76FA" w:rsidRPr="00B52278" w:rsidTr="005262C0">
        <w:trPr>
          <w:tblCellSpacing w:w="0" w:type="dxa"/>
          <w:jc w:val="center"/>
        </w:trPr>
        <w:tc>
          <w:tcPr>
            <w:tcW w:w="449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Students may study outside class for as little as 0 to 2  hours a week and this may be mostly last-minute test preparation</w:t>
            </w:r>
          </w:p>
        </w:tc>
        <w:tc>
          <w:tcPr>
            <w:tcW w:w="4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4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Students usually need to study at least 2 to 3 hours for each hour in class</w:t>
            </w:r>
          </w:p>
          <w:p w:rsidR="002F76FA" w:rsidRPr="00B52278" w:rsidRDefault="002F76FA" w:rsidP="005262C0">
            <w:pPr>
              <w:numPr>
                <w:ilvl w:val="0"/>
                <w:numId w:val="4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Students manage their own time and complete assignments independently</w:t>
            </w:r>
          </w:p>
        </w:tc>
      </w:tr>
      <w:tr w:rsidR="002F76FA" w:rsidRPr="00B52278" w:rsidTr="005E2493">
        <w:trPr>
          <w:trHeight w:val="720"/>
          <w:tblCellSpacing w:w="0" w:type="dxa"/>
          <w:jc w:val="center"/>
        </w:trPr>
        <w:tc>
          <w:tcPr>
            <w:tcW w:w="900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52278" w:rsidRPr="00B52278" w:rsidRDefault="002F76FA" w:rsidP="005262C0">
            <w:pPr>
              <w:spacing w:before="100" w:beforeAutospacing="1" w:after="100" w:afterAutospacing="1" w:line="240" w:lineRule="auto"/>
              <w:ind w:left="72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General Differences</w:t>
            </w:r>
          </w:p>
        </w:tc>
      </w:tr>
      <w:tr w:rsidR="002F76FA" w:rsidRPr="00B52278" w:rsidTr="005262C0">
        <w:trPr>
          <w:tblCellSpacing w:w="0" w:type="dxa"/>
          <w:jc w:val="center"/>
        </w:trPr>
        <w:tc>
          <w:tcPr>
            <w:tcW w:w="449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4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 xml:space="preserve">High school is an </w:t>
            </w:r>
            <w:r w:rsidRPr="00B522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entitlement</w:t>
            </w:r>
          </w:p>
        </w:tc>
        <w:tc>
          <w:tcPr>
            <w:tcW w:w="4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4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 xml:space="preserve">College is a </w:t>
            </w:r>
            <w:r w:rsidRPr="00B522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choice or privilege</w:t>
            </w:r>
            <w:r w:rsidRPr="00B52278">
              <w:rPr>
                <w:rFonts w:ascii="Arial" w:eastAsia="Times New Roman" w:hAnsi="Arial" w:cs="Arial"/>
                <w:sz w:val="24"/>
                <w:szCs w:val="24"/>
              </w:rPr>
              <w:t xml:space="preserve">, a </w:t>
            </w:r>
            <w:r w:rsidRPr="00B522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right to access</w:t>
            </w:r>
          </w:p>
        </w:tc>
      </w:tr>
      <w:tr w:rsidR="002F76FA" w:rsidRPr="00B52278" w:rsidTr="005262C0">
        <w:trPr>
          <w:tblCellSpacing w:w="0" w:type="dxa"/>
          <w:jc w:val="center"/>
        </w:trPr>
        <w:tc>
          <w:tcPr>
            <w:tcW w:w="449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4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 xml:space="preserve">High school is </w:t>
            </w:r>
            <w:r w:rsidRPr="00B522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mandatory</w:t>
            </w:r>
            <w:r w:rsidRPr="00B52278">
              <w:rPr>
                <w:rFonts w:ascii="Arial" w:eastAsia="Times New Roman" w:hAnsi="Arial" w:cs="Arial"/>
                <w:sz w:val="24"/>
                <w:szCs w:val="24"/>
              </w:rPr>
              <w:t xml:space="preserve"> and usually free</w:t>
            </w:r>
          </w:p>
        </w:tc>
        <w:tc>
          <w:tcPr>
            <w:tcW w:w="4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 xml:space="preserve">College is </w:t>
            </w:r>
            <w:r w:rsidRPr="00B5227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voluntary</w:t>
            </w:r>
            <w:r w:rsidRPr="00B52278">
              <w:rPr>
                <w:rFonts w:ascii="Arial" w:eastAsia="Times New Roman" w:hAnsi="Arial" w:cs="Arial"/>
                <w:sz w:val="24"/>
                <w:szCs w:val="24"/>
              </w:rPr>
              <w:t xml:space="preserve"> and costly</w:t>
            </w:r>
          </w:p>
        </w:tc>
      </w:tr>
      <w:tr w:rsidR="002F76FA" w:rsidRPr="00B52278" w:rsidTr="005262C0">
        <w:trPr>
          <w:tblCellSpacing w:w="0" w:type="dxa"/>
          <w:jc w:val="center"/>
        </w:trPr>
        <w:tc>
          <w:tcPr>
            <w:tcW w:w="449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4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Others structure your time</w:t>
            </w:r>
          </w:p>
        </w:tc>
        <w:tc>
          <w:tcPr>
            <w:tcW w:w="4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4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You manage your own time</w:t>
            </w:r>
          </w:p>
        </w:tc>
      </w:tr>
      <w:tr w:rsidR="002F76FA" w:rsidRPr="00B52278" w:rsidTr="005262C0">
        <w:trPr>
          <w:tblCellSpacing w:w="0" w:type="dxa"/>
          <w:jc w:val="center"/>
        </w:trPr>
        <w:tc>
          <w:tcPr>
            <w:tcW w:w="449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4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Permission is needed to participate in extracurricular activities</w:t>
            </w:r>
          </w:p>
        </w:tc>
        <w:tc>
          <w:tcPr>
            <w:tcW w:w="4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5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The decision to participate in co-curricular or extracurricular activities is yours</w:t>
            </w:r>
          </w:p>
        </w:tc>
      </w:tr>
      <w:tr w:rsidR="002F76FA" w:rsidRPr="00B52278" w:rsidTr="005262C0">
        <w:trPr>
          <w:tblCellSpacing w:w="0" w:type="dxa"/>
          <w:jc w:val="center"/>
        </w:trPr>
        <w:tc>
          <w:tcPr>
            <w:tcW w:w="449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5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Parents and teachers remind you of your responsibilities and assist you in setting priorities and goals</w:t>
            </w:r>
          </w:p>
        </w:tc>
        <w:tc>
          <w:tcPr>
            <w:tcW w:w="45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76FA" w:rsidRPr="00B52278" w:rsidRDefault="002F76FA" w:rsidP="005262C0">
            <w:pPr>
              <w:numPr>
                <w:ilvl w:val="0"/>
                <w:numId w:val="5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52278">
              <w:rPr>
                <w:rFonts w:ascii="Arial" w:eastAsia="Times New Roman" w:hAnsi="Arial" w:cs="Arial"/>
                <w:sz w:val="24"/>
                <w:szCs w:val="24"/>
              </w:rPr>
              <w:t>Balancing your time and setting priorities is now your responsibility</w:t>
            </w:r>
          </w:p>
        </w:tc>
      </w:tr>
    </w:tbl>
    <w:p w:rsidR="002F76FA" w:rsidRPr="00B52278" w:rsidRDefault="002F76FA" w:rsidP="002F76FA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</w:p>
    <w:p w:rsidR="002F76FA" w:rsidRPr="00B52278" w:rsidRDefault="002F76FA" w:rsidP="002F76F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52278">
        <w:rPr>
          <w:rFonts w:ascii="Arial" w:eastAsia="Times New Roman" w:hAnsi="Arial" w:cs="Arial"/>
          <w:sz w:val="24"/>
          <w:szCs w:val="24"/>
        </w:rPr>
        <w:t>© 2014 Georgia Highlands College</w:t>
      </w:r>
    </w:p>
    <w:p w:rsidR="0080617D" w:rsidRDefault="0080617D"/>
    <w:sectPr w:rsidR="0080617D" w:rsidSect="002F76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31229"/>
    <w:multiLevelType w:val="multilevel"/>
    <w:tmpl w:val="C164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2640F"/>
    <w:multiLevelType w:val="multilevel"/>
    <w:tmpl w:val="BA7E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372185"/>
    <w:multiLevelType w:val="multilevel"/>
    <w:tmpl w:val="62549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9F2916"/>
    <w:multiLevelType w:val="multilevel"/>
    <w:tmpl w:val="D066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B63A0B"/>
    <w:multiLevelType w:val="multilevel"/>
    <w:tmpl w:val="FFE8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E54FFA"/>
    <w:multiLevelType w:val="multilevel"/>
    <w:tmpl w:val="DEBA0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852873"/>
    <w:multiLevelType w:val="multilevel"/>
    <w:tmpl w:val="E36E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69271A"/>
    <w:multiLevelType w:val="multilevel"/>
    <w:tmpl w:val="97AE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E16209"/>
    <w:multiLevelType w:val="multilevel"/>
    <w:tmpl w:val="9996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766581"/>
    <w:multiLevelType w:val="multilevel"/>
    <w:tmpl w:val="9A8E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872871"/>
    <w:multiLevelType w:val="multilevel"/>
    <w:tmpl w:val="6B8A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C1593D"/>
    <w:multiLevelType w:val="multilevel"/>
    <w:tmpl w:val="7DF8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436562"/>
    <w:multiLevelType w:val="multilevel"/>
    <w:tmpl w:val="54884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A67B0C"/>
    <w:multiLevelType w:val="multilevel"/>
    <w:tmpl w:val="A532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AD73E39"/>
    <w:multiLevelType w:val="multilevel"/>
    <w:tmpl w:val="8BBA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CDF1014"/>
    <w:multiLevelType w:val="multilevel"/>
    <w:tmpl w:val="069C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732CAB"/>
    <w:multiLevelType w:val="multilevel"/>
    <w:tmpl w:val="9A60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620681"/>
    <w:multiLevelType w:val="multilevel"/>
    <w:tmpl w:val="8564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2A104DD"/>
    <w:multiLevelType w:val="multilevel"/>
    <w:tmpl w:val="63FE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D418E6"/>
    <w:multiLevelType w:val="multilevel"/>
    <w:tmpl w:val="C6CAB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1E1DFE"/>
    <w:multiLevelType w:val="multilevel"/>
    <w:tmpl w:val="96AE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7334F7D"/>
    <w:multiLevelType w:val="multilevel"/>
    <w:tmpl w:val="78FC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90F3488"/>
    <w:multiLevelType w:val="multilevel"/>
    <w:tmpl w:val="F6C4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C0E32DB"/>
    <w:multiLevelType w:val="multilevel"/>
    <w:tmpl w:val="8CB2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C5B3E22"/>
    <w:multiLevelType w:val="multilevel"/>
    <w:tmpl w:val="E24C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F684301"/>
    <w:multiLevelType w:val="multilevel"/>
    <w:tmpl w:val="84F0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B25A9C"/>
    <w:multiLevelType w:val="multilevel"/>
    <w:tmpl w:val="AF0E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A265EBF"/>
    <w:multiLevelType w:val="multilevel"/>
    <w:tmpl w:val="33745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6B36BB"/>
    <w:multiLevelType w:val="multilevel"/>
    <w:tmpl w:val="D478A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BC86C1B"/>
    <w:multiLevelType w:val="multilevel"/>
    <w:tmpl w:val="06FA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D0C0B79"/>
    <w:multiLevelType w:val="multilevel"/>
    <w:tmpl w:val="A7B2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E7818E1"/>
    <w:multiLevelType w:val="multilevel"/>
    <w:tmpl w:val="4444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4173EC4"/>
    <w:multiLevelType w:val="multilevel"/>
    <w:tmpl w:val="6152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5F9715A"/>
    <w:multiLevelType w:val="multilevel"/>
    <w:tmpl w:val="AF3E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76D4BF5"/>
    <w:multiLevelType w:val="multilevel"/>
    <w:tmpl w:val="9BB6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78420E2"/>
    <w:multiLevelType w:val="multilevel"/>
    <w:tmpl w:val="4974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A3E5490"/>
    <w:multiLevelType w:val="multilevel"/>
    <w:tmpl w:val="C390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A496289"/>
    <w:multiLevelType w:val="multilevel"/>
    <w:tmpl w:val="CDA2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F905FEC"/>
    <w:multiLevelType w:val="multilevel"/>
    <w:tmpl w:val="43EA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2AB0EA1"/>
    <w:multiLevelType w:val="multilevel"/>
    <w:tmpl w:val="F150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31974AA"/>
    <w:multiLevelType w:val="multilevel"/>
    <w:tmpl w:val="C20C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3DD6EA6"/>
    <w:multiLevelType w:val="multilevel"/>
    <w:tmpl w:val="6054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50713A1"/>
    <w:multiLevelType w:val="multilevel"/>
    <w:tmpl w:val="9678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87E65E4"/>
    <w:multiLevelType w:val="multilevel"/>
    <w:tmpl w:val="7488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AE64327"/>
    <w:multiLevelType w:val="multilevel"/>
    <w:tmpl w:val="F02A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E237504"/>
    <w:multiLevelType w:val="multilevel"/>
    <w:tmpl w:val="DBAE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0291B01"/>
    <w:multiLevelType w:val="multilevel"/>
    <w:tmpl w:val="61AE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13960C0"/>
    <w:multiLevelType w:val="multilevel"/>
    <w:tmpl w:val="FDDE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86F0EB3"/>
    <w:multiLevelType w:val="multilevel"/>
    <w:tmpl w:val="2A6E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8885B9E"/>
    <w:multiLevelType w:val="multilevel"/>
    <w:tmpl w:val="0288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7BB76716"/>
    <w:multiLevelType w:val="multilevel"/>
    <w:tmpl w:val="E68E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FF53E4E"/>
    <w:multiLevelType w:val="multilevel"/>
    <w:tmpl w:val="C96A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0"/>
  </w:num>
  <w:num w:numId="3">
    <w:abstractNumId w:val="47"/>
  </w:num>
  <w:num w:numId="4">
    <w:abstractNumId w:val="27"/>
  </w:num>
  <w:num w:numId="5">
    <w:abstractNumId w:val="40"/>
  </w:num>
  <w:num w:numId="6">
    <w:abstractNumId w:val="48"/>
  </w:num>
  <w:num w:numId="7">
    <w:abstractNumId w:val="33"/>
  </w:num>
  <w:num w:numId="8">
    <w:abstractNumId w:val="23"/>
  </w:num>
  <w:num w:numId="9">
    <w:abstractNumId w:val="39"/>
  </w:num>
  <w:num w:numId="10">
    <w:abstractNumId w:val="4"/>
  </w:num>
  <w:num w:numId="11">
    <w:abstractNumId w:val="2"/>
  </w:num>
  <w:num w:numId="12">
    <w:abstractNumId w:val="44"/>
  </w:num>
  <w:num w:numId="13">
    <w:abstractNumId w:val="46"/>
  </w:num>
  <w:num w:numId="14">
    <w:abstractNumId w:val="5"/>
  </w:num>
  <w:num w:numId="15">
    <w:abstractNumId w:val="37"/>
  </w:num>
  <w:num w:numId="16">
    <w:abstractNumId w:val="26"/>
  </w:num>
  <w:num w:numId="17">
    <w:abstractNumId w:val="0"/>
  </w:num>
  <w:num w:numId="18">
    <w:abstractNumId w:val="24"/>
  </w:num>
  <w:num w:numId="19">
    <w:abstractNumId w:val="42"/>
  </w:num>
  <w:num w:numId="20">
    <w:abstractNumId w:val="7"/>
  </w:num>
  <w:num w:numId="21">
    <w:abstractNumId w:val="11"/>
  </w:num>
  <w:num w:numId="22">
    <w:abstractNumId w:val="3"/>
  </w:num>
  <w:num w:numId="23">
    <w:abstractNumId w:val="6"/>
  </w:num>
  <w:num w:numId="24">
    <w:abstractNumId w:val="25"/>
  </w:num>
  <w:num w:numId="25">
    <w:abstractNumId w:val="9"/>
  </w:num>
  <w:num w:numId="26">
    <w:abstractNumId w:val="15"/>
  </w:num>
  <w:num w:numId="27">
    <w:abstractNumId w:val="17"/>
  </w:num>
  <w:num w:numId="28">
    <w:abstractNumId w:val="50"/>
  </w:num>
  <w:num w:numId="29">
    <w:abstractNumId w:val="38"/>
  </w:num>
  <w:num w:numId="30">
    <w:abstractNumId w:val="8"/>
  </w:num>
  <w:num w:numId="31">
    <w:abstractNumId w:val="41"/>
  </w:num>
  <w:num w:numId="32">
    <w:abstractNumId w:val="13"/>
  </w:num>
  <w:num w:numId="33">
    <w:abstractNumId w:val="12"/>
  </w:num>
  <w:num w:numId="34">
    <w:abstractNumId w:val="14"/>
  </w:num>
  <w:num w:numId="35">
    <w:abstractNumId w:val="1"/>
  </w:num>
  <w:num w:numId="36">
    <w:abstractNumId w:val="32"/>
  </w:num>
  <w:num w:numId="37">
    <w:abstractNumId w:val="45"/>
  </w:num>
  <w:num w:numId="38">
    <w:abstractNumId w:val="30"/>
  </w:num>
  <w:num w:numId="39">
    <w:abstractNumId w:val="22"/>
  </w:num>
  <w:num w:numId="40">
    <w:abstractNumId w:val="31"/>
  </w:num>
  <w:num w:numId="41">
    <w:abstractNumId w:val="28"/>
  </w:num>
  <w:num w:numId="42">
    <w:abstractNumId w:val="18"/>
  </w:num>
  <w:num w:numId="43">
    <w:abstractNumId w:val="29"/>
  </w:num>
  <w:num w:numId="44">
    <w:abstractNumId w:val="21"/>
  </w:num>
  <w:num w:numId="45">
    <w:abstractNumId w:val="34"/>
  </w:num>
  <w:num w:numId="46">
    <w:abstractNumId w:val="16"/>
  </w:num>
  <w:num w:numId="47">
    <w:abstractNumId w:val="51"/>
  </w:num>
  <w:num w:numId="48">
    <w:abstractNumId w:val="36"/>
  </w:num>
  <w:num w:numId="49">
    <w:abstractNumId w:val="35"/>
  </w:num>
  <w:num w:numId="50">
    <w:abstractNumId w:val="43"/>
  </w:num>
  <w:num w:numId="51">
    <w:abstractNumId w:val="10"/>
  </w:num>
  <w:num w:numId="52">
    <w:abstractNumId w:val="49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6FA"/>
    <w:rsid w:val="000A7262"/>
    <w:rsid w:val="000E68F3"/>
    <w:rsid w:val="002F76FA"/>
    <w:rsid w:val="0058404E"/>
    <w:rsid w:val="005E2493"/>
    <w:rsid w:val="0060626D"/>
    <w:rsid w:val="0080617D"/>
    <w:rsid w:val="00D66941"/>
    <w:rsid w:val="00FB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05380F-BCD5-46A1-B206-4B0BD687A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09263-3962-4B86-8A28-F41954F58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Highlands College</Company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ghc</dc:creator>
  <cp:lastModifiedBy>Kimberly Linek</cp:lastModifiedBy>
  <cp:revision>2</cp:revision>
  <cp:lastPrinted>2014-10-20T12:15:00Z</cp:lastPrinted>
  <dcterms:created xsi:type="dcterms:W3CDTF">2016-06-29T16:22:00Z</dcterms:created>
  <dcterms:modified xsi:type="dcterms:W3CDTF">2016-06-29T16:22:00Z</dcterms:modified>
</cp:coreProperties>
</file>