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55F" w:rsidRDefault="001D655F" w:rsidP="00E8266E">
      <w:pPr>
        <w:pStyle w:val="Title"/>
      </w:pPr>
      <w:r>
        <w:t>Ontwikkelen in Reporting Services voor PASS Software</w:t>
      </w:r>
    </w:p>
    <w:p w:rsidR="001D655F" w:rsidRDefault="001D655F">
      <w:r>
        <w:br w:type="page"/>
      </w:r>
    </w:p>
    <w:p w:rsidR="00707F91" w:rsidRDefault="001D655F" w:rsidP="00E8266E">
      <w:pPr>
        <w:pStyle w:val="Heading1"/>
      </w:pPr>
      <w:r>
        <w:lastRenderedPageBreak/>
        <w:t>Benodigde software</w:t>
      </w:r>
    </w:p>
    <w:p w:rsidR="00152BB6" w:rsidRDefault="00152BB6">
      <w:pPr>
        <w:rPr>
          <w:lang w:val="en-US"/>
        </w:rPr>
      </w:pPr>
    </w:p>
    <w:p w:rsidR="001D655F" w:rsidRPr="00152BB6" w:rsidRDefault="001D655F" w:rsidP="00152BB6">
      <w:pPr>
        <w:pStyle w:val="ListParagraph"/>
        <w:numPr>
          <w:ilvl w:val="0"/>
          <w:numId w:val="1"/>
        </w:numPr>
      </w:pPr>
      <w:r w:rsidRPr="00152BB6">
        <w:t>Visual Studio 2012</w:t>
      </w:r>
    </w:p>
    <w:p w:rsidR="001D655F" w:rsidRPr="00152BB6" w:rsidRDefault="001D655F" w:rsidP="00152BB6">
      <w:pPr>
        <w:pStyle w:val="ListParagraph"/>
        <w:numPr>
          <w:ilvl w:val="0"/>
          <w:numId w:val="1"/>
        </w:numPr>
      </w:pPr>
      <w:hyperlink r:id="rId8" w:tgtFrame="_blank" w:history="1">
        <w:r w:rsidRPr="00152BB6">
          <w:rPr>
            <w:rStyle w:val="Hyperlink"/>
          </w:rPr>
          <w:t xml:space="preserve">Business Intelligence </w:t>
        </w:r>
        <w:proofErr w:type="spellStart"/>
        <w:r w:rsidRPr="00152BB6">
          <w:rPr>
            <w:rStyle w:val="Hyperlink"/>
          </w:rPr>
          <w:t>for</w:t>
        </w:r>
        <w:proofErr w:type="spellEnd"/>
        <w:r w:rsidRPr="00152BB6">
          <w:rPr>
            <w:rStyle w:val="Hyperlink"/>
          </w:rPr>
          <w:t xml:space="preserve"> Visual Studio 2012</w:t>
        </w:r>
      </w:hyperlink>
    </w:p>
    <w:p w:rsidR="001D655F" w:rsidRDefault="001D655F" w:rsidP="00152BB6">
      <w:pPr>
        <w:pStyle w:val="ListParagraph"/>
        <w:numPr>
          <w:ilvl w:val="0"/>
          <w:numId w:val="1"/>
        </w:numPr>
      </w:pPr>
      <w:r w:rsidRPr="00152BB6">
        <w:t>SQL Server Mana</w:t>
      </w:r>
      <w:r>
        <w:t>gement Studio (onderdeel van Microsoft SQL Server 2012)</w:t>
      </w:r>
    </w:p>
    <w:p w:rsidR="001D655F" w:rsidRDefault="001D655F"/>
    <w:p w:rsidR="001D655F" w:rsidRDefault="001D655F" w:rsidP="00E8266E">
      <w:pPr>
        <w:pStyle w:val="Heading1"/>
        <w:rPr>
          <w:lang w:val="en-US"/>
        </w:rPr>
      </w:pPr>
      <w:proofErr w:type="spellStart"/>
      <w:r w:rsidRPr="001D655F">
        <w:rPr>
          <w:lang w:val="en-US"/>
        </w:rPr>
        <w:t>Locaties</w:t>
      </w:r>
      <w:proofErr w:type="spellEnd"/>
    </w:p>
    <w:tbl>
      <w:tblPr>
        <w:tblStyle w:val="MediumList2-Accent1"/>
        <w:tblW w:w="4484" w:type="pct"/>
        <w:tblLook w:val="04A0" w:firstRow="1" w:lastRow="0" w:firstColumn="1" w:lastColumn="0" w:noHBand="0" w:noVBand="1"/>
      </w:tblPr>
      <w:tblGrid>
        <w:gridCol w:w="3056"/>
        <w:gridCol w:w="3810"/>
        <w:gridCol w:w="1463"/>
      </w:tblGrid>
      <w:tr w:rsidR="00F56A29" w:rsidTr="00A85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5" w:type="pct"/>
            <w:noWrap/>
          </w:tcPr>
          <w:p w:rsidR="00F56A29" w:rsidRDefault="00F56A29">
            <w:pP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87" w:type="pct"/>
          </w:tcPr>
          <w:p w:rsidR="00F56A29" w:rsidRDefault="00F56A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878" w:type="pct"/>
          </w:tcPr>
          <w:p w:rsidR="00F56A29" w:rsidRDefault="00F56A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Description</w:t>
            </w:r>
          </w:p>
        </w:tc>
      </w:tr>
      <w:tr w:rsidR="00F56A29" w:rsidTr="00A85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pct"/>
            <w:noWrap/>
          </w:tcPr>
          <w:p w:rsidR="00F56A29" w:rsidRDefault="00F56A29" w:rsidP="00152BB6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 w:rsidRPr="001D655F">
              <w:t>Team Foundation Server</w:t>
            </w:r>
          </w:p>
        </w:tc>
        <w:tc>
          <w:tcPr>
            <w:tcW w:w="2287" w:type="pct"/>
          </w:tcPr>
          <w:p w:rsidR="00F56A29" w:rsidRDefault="00F56A29" w:rsidP="0015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hyperlink r:id="rId9" w:history="1">
              <w:r w:rsidRPr="001D655F">
                <w:rPr>
                  <w:rStyle w:val="Hyperlink"/>
                </w:rPr>
                <w:t>http://omn-dv03:8080/tfs</w:t>
              </w:r>
            </w:hyperlink>
          </w:p>
        </w:tc>
        <w:tc>
          <w:tcPr>
            <w:tcW w:w="878" w:type="pct"/>
          </w:tcPr>
          <w:p w:rsidR="00F56A29" w:rsidRDefault="00F56A29" w:rsidP="0015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</w:tr>
      <w:tr w:rsidR="00F56A29" w:rsidTr="00A85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pct"/>
            <w:noWrap/>
          </w:tcPr>
          <w:p w:rsidR="00F56A29" w:rsidRDefault="00F56A29" w:rsidP="00152BB6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t>TFS Project folder</w:t>
            </w:r>
          </w:p>
        </w:tc>
        <w:tc>
          <w:tcPr>
            <w:tcW w:w="2287" w:type="pct"/>
          </w:tcPr>
          <w:p w:rsidR="00F56A29" w:rsidRPr="00F56A29" w:rsidRDefault="00F56A29" w:rsidP="0015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</w:t>
            </w:r>
            <w:r>
              <w:t>SS/</w:t>
            </w:r>
            <w:proofErr w:type="spellStart"/>
            <w:r>
              <w:t>PASSClinical_NEW</w:t>
            </w:r>
            <w:proofErr w:type="spellEnd"/>
            <w:r>
              <w:t>/</w:t>
            </w:r>
            <w:proofErr w:type="spellStart"/>
            <w:r>
              <w:t>PassReports</w:t>
            </w:r>
            <w:proofErr w:type="spellEnd"/>
          </w:p>
        </w:tc>
        <w:tc>
          <w:tcPr>
            <w:tcW w:w="878" w:type="pct"/>
          </w:tcPr>
          <w:p w:rsidR="00F56A29" w:rsidRDefault="00F56A29" w:rsidP="0015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Style w:val="FootnoteReference"/>
              </w:rPr>
              <w:footnoteReference w:id="1"/>
            </w:r>
          </w:p>
        </w:tc>
      </w:tr>
      <w:tr w:rsidR="00F56A29" w:rsidTr="00A85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pct"/>
            <w:noWrap/>
          </w:tcPr>
          <w:p w:rsidR="00F56A29" w:rsidRDefault="00F56A29" w:rsidP="00152BB6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t xml:space="preserve">Reporting Services </w:t>
            </w:r>
            <w:proofErr w:type="spellStart"/>
            <w:r w:rsidR="000E595F">
              <w:t>Test</w:t>
            </w:r>
            <w:r>
              <w:t>Server</w:t>
            </w:r>
            <w:proofErr w:type="spellEnd"/>
          </w:p>
        </w:tc>
        <w:tc>
          <w:tcPr>
            <w:tcW w:w="2287" w:type="pct"/>
          </w:tcPr>
          <w:p w:rsidR="00F56A29" w:rsidRDefault="00F56A29" w:rsidP="0015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 w:rsidRPr="00F56A29">
              <w:t>CCG-RWK-PSRV01</w:t>
            </w:r>
          </w:p>
        </w:tc>
        <w:tc>
          <w:tcPr>
            <w:tcW w:w="878" w:type="pct"/>
          </w:tcPr>
          <w:p w:rsidR="00F56A29" w:rsidRDefault="00F56A29" w:rsidP="0015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</w:tr>
      <w:tr w:rsidR="00F56A29" w:rsidRPr="000E595F" w:rsidTr="00A85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pct"/>
            <w:noWrap/>
          </w:tcPr>
          <w:p w:rsidR="00F56A29" w:rsidRDefault="00585B1E" w:rsidP="00152BB6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proofErr w:type="spellStart"/>
            <w:r>
              <w:t>Test</w:t>
            </w:r>
            <w:r w:rsidR="00F56A29">
              <w:t>RS</w:t>
            </w:r>
            <w:proofErr w:type="spellEnd"/>
            <w:r w:rsidR="00F56A29">
              <w:t>-browse-</w:t>
            </w:r>
            <w:proofErr w:type="spellStart"/>
            <w:r w:rsidR="00F56A29">
              <w:t>url</w:t>
            </w:r>
            <w:proofErr w:type="spellEnd"/>
          </w:p>
        </w:tc>
        <w:tc>
          <w:tcPr>
            <w:tcW w:w="2287" w:type="pct"/>
          </w:tcPr>
          <w:p w:rsidR="00F56A29" w:rsidRDefault="00F56A29" w:rsidP="0015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hyperlink r:id="rId10" w:history="1">
              <w:r w:rsidRPr="002507E2">
                <w:rPr>
                  <w:rStyle w:val="Hyperlink"/>
                </w:rPr>
                <w:t>http://ccg-rwk-psrv01/Reports/</w:t>
              </w:r>
            </w:hyperlink>
          </w:p>
        </w:tc>
        <w:tc>
          <w:tcPr>
            <w:tcW w:w="878" w:type="pct"/>
          </w:tcPr>
          <w:p w:rsidR="00F56A29" w:rsidRDefault="00F56A29" w:rsidP="0015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</w:tr>
      <w:tr w:rsidR="00F56A29" w:rsidRPr="000E595F" w:rsidTr="00A85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pct"/>
            <w:noWrap/>
          </w:tcPr>
          <w:p w:rsidR="00F56A29" w:rsidRDefault="00585B1E" w:rsidP="00152BB6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proofErr w:type="spellStart"/>
            <w:r>
              <w:t>Test</w:t>
            </w:r>
            <w:r w:rsidR="00F56A29">
              <w:t>RS</w:t>
            </w:r>
            <w:proofErr w:type="spellEnd"/>
            <w:r w:rsidR="00F56A29">
              <w:t xml:space="preserve"> deploy-</w:t>
            </w:r>
            <w:proofErr w:type="spellStart"/>
            <w:r w:rsidR="00F56A29">
              <w:t>url</w:t>
            </w:r>
            <w:proofErr w:type="spellEnd"/>
          </w:p>
        </w:tc>
        <w:tc>
          <w:tcPr>
            <w:tcW w:w="2287" w:type="pct"/>
          </w:tcPr>
          <w:p w:rsidR="00F56A29" w:rsidRDefault="00F56A29" w:rsidP="0015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hyperlink r:id="rId11" w:history="1">
              <w:r w:rsidRPr="002507E2">
                <w:rPr>
                  <w:rStyle w:val="Hyperlink"/>
                </w:rPr>
                <w:t>http://ccg-rwk-psrv01/Reportserver</w:t>
              </w:r>
            </w:hyperlink>
          </w:p>
        </w:tc>
        <w:tc>
          <w:tcPr>
            <w:tcW w:w="878" w:type="pct"/>
          </w:tcPr>
          <w:p w:rsidR="00F56A29" w:rsidRDefault="00F56A29" w:rsidP="0015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</w:tr>
      <w:tr w:rsidR="00A85A9C" w:rsidRPr="000E595F" w:rsidTr="00A85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pct"/>
            <w:noWrap/>
          </w:tcPr>
          <w:p w:rsidR="00A85A9C" w:rsidRDefault="00A85A9C" w:rsidP="00152BB6">
            <w:proofErr w:type="spellStart"/>
            <w:r>
              <w:t>DatabaseServer</w:t>
            </w:r>
            <w:proofErr w:type="spellEnd"/>
          </w:p>
        </w:tc>
        <w:tc>
          <w:tcPr>
            <w:tcW w:w="2287" w:type="pct"/>
          </w:tcPr>
          <w:p w:rsidR="00A85A9C" w:rsidRDefault="00A85A9C" w:rsidP="0015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A9C">
              <w:t>ccg-rwk-psrv01</w:t>
            </w:r>
          </w:p>
        </w:tc>
        <w:tc>
          <w:tcPr>
            <w:tcW w:w="878" w:type="pct"/>
          </w:tcPr>
          <w:p w:rsidR="00A85A9C" w:rsidRDefault="00A85A9C" w:rsidP="0015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</w:rPr>
            </w:pPr>
          </w:p>
        </w:tc>
      </w:tr>
    </w:tbl>
    <w:p w:rsidR="00F56A29" w:rsidRDefault="00F56A29">
      <w:pPr>
        <w:rPr>
          <w:lang w:val="en-US"/>
        </w:rPr>
      </w:pPr>
    </w:p>
    <w:p w:rsidR="000E595F" w:rsidRPr="000E595F" w:rsidRDefault="000E595F" w:rsidP="00E8266E">
      <w:pPr>
        <w:pStyle w:val="Heading1"/>
      </w:pPr>
      <w:r w:rsidRPr="000E595F">
        <w:t>Inloggegevens</w:t>
      </w:r>
    </w:p>
    <w:p w:rsidR="000E595F" w:rsidRDefault="000E595F">
      <w:r w:rsidRPr="000E595F">
        <w:t>De inloggegevens zijn geadministreerd in O:\Pass-Software\Ontwikkeling\Keepass</w:t>
      </w:r>
      <w:r>
        <w:t>\</w:t>
      </w:r>
      <w:r w:rsidRPr="000E595F">
        <w:t>Pass.kdbx</w:t>
      </w:r>
      <w:r>
        <w:t xml:space="preserve"> 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3056"/>
        <w:gridCol w:w="6232"/>
      </w:tblGrid>
      <w:tr w:rsidR="00585B1E" w:rsidTr="00585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5" w:type="pct"/>
            <w:noWrap/>
          </w:tcPr>
          <w:p w:rsidR="00585B1E" w:rsidRDefault="00585B1E" w:rsidP="000E763A">
            <w:pP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355" w:type="pct"/>
          </w:tcPr>
          <w:p w:rsidR="00585B1E" w:rsidRDefault="00E8266E" w:rsidP="000E7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User</w:t>
            </w:r>
          </w:p>
        </w:tc>
      </w:tr>
      <w:tr w:rsidR="00585B1E" w:rsidRPr="00585B1E" w:rsidTr="00585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noWrap/>
          </w:tcPr>
          <w:p w:rsidR="00585B1E" w:rsidRDefault="00585B1E" w:rsidP="00152BB6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 w:rsidRPr="001D655F">
              <w:t>Team Foundation Server</w:t>
            </w:r>
          </w:p>
        </w:tc>
        <w:tc>
          <w:tcPr>
            <w:tcW w:w="3355" w:type="pct"/>
          </w:tcPr>
          <w:p w:rsidR="00585B1E" w:rsidRDefault="00585B1E" w:rsidP="0015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&lt;Domain user account&gt; (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/>
              </w:rPr>
              <w:t>bv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 OMNIT\Paul)</w:t>
            </w:r>
          </w:p>
        </w:tc>
      </w:tr>
      <w:tr w:rsidR="00585B1E" w:rsidTr="00585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noWrap/>
          </w:tcPr>
          <w:p w:rsidR="00585B1E" w:rsidRDefault="00585B1E" w:rsidP="00152BB6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t xml:space="preserve">Reporting Services </w:t>
            </w:r>
            <w:proofErr w:type="spellStart"/>
            <w:r>
              <w:t>TestServer</w:t>
            </w:r>
            <w:proofErr w:type="spellEnd"/>
          </w:p>
        </w:tc>
        <w:tc>
          <w:tcPr>
            <w:tcW w:w="3355" w:type="pct"/>
          </w:tcPr>
          <w:p w:rsidR="00585B1E" w:rsidRDefault="00585B1E" w:rsidP="0015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 w:rsidRPr="00585B1E">
              <w:rPr>
                <w:rFonts w:asciiTheme="minorHAnsi" w:eastAsiaTheme="minorEastAsia" w:hAnsiTheme="minorHAnsi" w:cstheme="minorBidi"/>
                <w:color w:val="000000"/>
              </w:rPr>
              <w:t>ccg-rwk-psrv01\administrator</w:t>
            </w:r>
          </w:p>
        </w:tc>
      </w:tr>
      <w:tr w:rsidR="00585B1E" w:rsidRPr="000E595F" w:rsidTr="00585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noWrap/>
          </w:tcPr>
          <w:p w:rsidR="00585B1E" w:rsidRDefault="00585B1E" w:rsidP="00152BB6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proofErr w:type="spellStart"/>
            <w:r>
              <w:t>TestRS</w:t>
            </w:r>
            <w:proofErr w:type="spellEnd"/>
            <w:r>
              <w:t>-browse</w:t>
            </w:r>
            <w:r>
              <w:t>r</w:t>
            </w:r>
          </w:p>
        </w:tc>
        <w:tc>
          <w:tcPr>
            <w:tcW w:w="3355" w:type="pct"/>
          </w:tcPr>
          <w:p w:rsidR="00585B1E" w:rsidRDefault="00585B1E" w:rsidP="0015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 w:rsidRPr="00585B1E">
              <w:rPr>
                <w:rFonts w:asciiTheme="minorHAnsi" w:eastAsiaTheme="minorEastAsia" w:hAnsiTheme="minorHAnsi" w:cstheme="minorBidi"/>
                <w:color w:val="000000"/>
              </w:rPr>
              <w:t>ccg-rwk-psrv01\TestUser1</w:t>
            </w:r>
          </w:p>
          <w:p w:rsidR="00585B1E" w:rsidRDefault="00585B1E" w:rsidP="0015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 w:rsidRPr="00585B1E">
              <w:rPr>
                <w:rFonts w:asciiTheme="minorHAnsi" w:eastAsiaTheme="minorEastAsia" w:hAnsiTheme="minorHAnsi" w:cstheme="minorBidi"/>
                <w:color w:val="000000"/>
              </w:rPr>
              <w:t>ccg-rwk-psrv01\TestUser2</w:t>
            </w:r>
          </w:p>
          <w:p w:rsidR="00585B1E" w:rsidRDefault="00585B1E" w:rsidP="0015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 w:rsidRPr="00585B1E">
              <w:rPr>
                <w:rFonts w:asciiTheme="minorHAnsi" w:eastAsiaTheme="minorEastAsia" w:hAnsiTheme="minorHAnsi" w:cstheme="minorBidi"/>
                <w:color w:val="000000"/>
              </w:rPr>
              <w:t>ccg-rwk-psrv01\administrator</w:t>
            </w:r>
          </w:p>
        </w:tc>
      </w:tr>
      <w:tr w:rsidR="00585B1E" w:rsidRPr="000E595F" w:rsidTr="00585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noWrap/>
          </w:tcPr>
          <w:p w:rsidR="00585B1E" w:rsidRDefault="00585B1E" w:rsidP="00152BB6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proofErr w:type="spellStart"/>
            <w:r>
              <w:t>TestRS</w:t>
            </w:r>
            <w:proofErr w:type="spellEnd"/>
            <w:r>
              <w:t xml:space="preserve"> deploy</w:t>
            </w:r>
          </w:p>
        </w:tc>
        <w:tc>
          <w:tcPr>
            <w:tcW w:w="3355" w:type="pct"/>
          </w:tcPr>
          <w:p w:rsidR="00585B1E" w:rsidRDefault="00585B1E" w:rsidP="0015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 w:rsidRPr="00585B1E">
              <w:rPr>
                <w:rFonts w:asciiTheme="minorHAnsi" w:eastAsiaTheme="minorEastAsia" w:hAnsiTheme="minorHAnsi" w:cstheme="minorBidi"/>
                <w:color w:val="000000"/>
              </w:rPr>
              <w:t>ccg-rwk-psrv01\administrator</w:t>
            </w:r>
          </w:p>
        </w:tc>
      </w:tr>
      <w:tr w:rsidR="00A85A9C" w:rsidRPr="000E595F" w:rsidTr="00585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noWrap/>
          </w:tcPr>
          <w:p w:rsidR="00A85A9C" w:rsidRDefault="00A85A9C" w:rsidP="00152BB6">
            <w:r>
              <w:t>Database (</w:t>
            </w:r>
            <w:proofErr w:type="spellStart"/>
            <w:r>
              <w:t>datasource</w:t>
            </w:r>
            <w:proofErr w:type="spellEnd"/>
            <w:r>
              <w:t>)</w:t>
            </w:r>
          </w:p>
        </w:tc>
        <w:tc>
          <w:tcPr>
            <w:tcW w:w="3355" w:type="pct"/>
          </w:tcPr>
          <w:p w:rsidR="00A85A9C" w:rsidRPr="00585B1E" w:rsidRDefault="00A85A9C" w:rsidP="0015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</w:rPr>
            </w:pPr>
            <w:proofErr w:type="spellStart"/>
            <w:r>
              <w:rPr>
                <w:rFonts w:eastAsiaTheme="minorEastAsia"/>
                <w:color w:val="000000"/>
              </w:rPr>
              <w:t>sa</w:t>
            </w:r>
            <w:proofErr w:type="spellEnd"/>
          </w:p>
        </w:tc>
      </w:tr>
    </w:tbl>
    <w:p w:rsidR="000E595F" w:rsidRPr="000E595F" w:rsidRDefault="000E595F">
      <w:pPr>
        <w:rPr>
          <w:lang w:val="en-US"/>
        </w:rPr>
      </w:pPr>
    </w:p>
    <w:p w:rsidR="00C72D40" w:rsidRDefault="00CF2ED9">
      <w:pPr>
        <w:rPr>
          <w:lang w:val="en-US"/>
        </w:rPr>
      </w:pPr>
      <w:r w:rsidRPr="000E595F">
        <w:rPr>
          <w:lang w:val="en-US"/>
        </w:rPr>
        <w:br w:type="page"/>
      </w:r>
    </w:p>
    <w:p w:rsidR="00CF2ED9" w:rsidRPr="00C72D40" w:rsidRDefault="00C72D40" w:rsidP="00C17C68">
      <w:pPr>
        <w:pStyle w:val="Heading1"/>
      </w:pPr>
      <w:r w:rsidRPr="00C72D40">
        <w:lastRenderedPageBreak/>
        <w:t>Ontwikkelprocedure</w:t>
      </w:r>
    </w:p>
    <w:p w:rsidR="00C72D40" w:rsidRDefault="00C72D40" w:rsidP="00C17C68">
      <w:pPr>
        <w:pStyle w:val="Heading2"/>
      </w:pPr>
      <w:r>
        <w:t>Voorbereiding</w:t>
      </w:r>
    </w:p>
    <w:p w:rsidR="00C72D40" w:rsidRDefault="00C72D40">
      <w:r>
        <w:t xml:space="preserve">Haal de solution op vanuit TFS. Er is 1 solution waaronder meerdere projecten hangen. </w:t>
      </w:r>
    </w:p>
    <w:p w:rsidR="00C72D40" w:rsidRDefault="00C72D40" w:rsidP="00C17C68">
      <w:pPr>
        <w:pStyle w:val="Heading2"/>
      </w:pPr>
      <w:r>
        <w:t>Inleiding</w:t>
      </w:r>
    </w:p>
    <w:p w:rsidR="00C72D40" w:rsidRPr="00C72D40" w:rsidRDefault="00C72D40">
      <w:pPr>
        <w:rPr>
          <w:lang w:val="en-US"/>
        </w:rPr>
      </w:pPr>
      <w:r>
        <w:t xml:space="preserve">Per klant is 1 project. </w:t>
      </w:r>
      <w:r w:rsidRPr="00C72D40">
        <w:rPr>
          <w:lang w:val="en-US"/>
        </w:rPr>
        <w:t xml:space="preserve">Per project </w:t>
      </w:r>
      <w:proofErr w:type="spellStart"/>
      <w:r w:rsidRPr="00C72D40">
        <w:rPr>
          <w:lang w:val="en-US"/>
        </w:rPr>
        <w:t>zijn</w:t>
      </w:r>
      <w:proofErr w:type="spellEnd"/>
      <w:r w:rsidRPr="00C72D40">
        <w:rPr>
          <w:lang w:val="en-US"/>
        </w:rPr>
        <w:t xml:space="preserve"> </w:t>
      </w:r>
      <w:proofErr w:type="spellStart"/>
      <w:r w:rsidRPr="00C72D40">
        <w:rPr>
          <w:lang w:val="en-US"/>
        </w:rPr>
        <w:t>er</w:t>
      </w:r>
      <w:proofErr w:type="spellEnd"/>
      <w:r w:rsidRPr="00C72D40">
        <w:rPr>
          <w:lang w:val="en-US"/>
        </w:rPr>
        <w:t xml:space="preserve"> </w:t>
      </w:r>
      <w:proofErr w:type="spellStart"/>
      <w:r w:rsidRPr="00C72D40">
        <w:rPr>
          <w:lang w:val="en-US"/>
        </w:rPr>
        <w:t>rapporten</w:t>
      </w:r>
      <w:proofErr w:type="spellEnd"/>
      <w:r w:rsidRPr="00C72D40">
        <w:rPr>
          <w:lang w:val="en-US"/>
        </w:rPr>
        <w:t>, shared datasets en shared data sources.</w:t>
      </w:r>
    </w:p>
    <w:p w:rsidR="00C72D40" w:rsidRDefault="00C869DF">
      <w:pPr>
        <w:rPr>
          <w:lang w:val="en-US"/>
        </w:rPr>
      </w:pPr>
      <w:r w:rsidRPr="00C869DF">
        <w:rPr>
          <w:lang w:val="en-US"/>
        </w:rPr>
        <w:drawing>
          <wp:inline distT="0" distB="0" distL="0" distR="0" wp14:anchorId="5CB06FE3" wp14:editId="4976500B">
            <wp:extent cx="2053087" cy="2265215"/>
            <wp:effectExtent l="0" t="0" r="444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4947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CA" w:rsidRDefault="005D6ECA" w:rsidP="00C17C68">
      <w:pPr>
        <w:pStyle w:val="Heading2"/>
        <w:rPr>
          <w:lang w:val="en-US"/>
        </w:rPr>
      </w:pPr>
      <w:proofErr w:type="spellStart"/>
      <w:r>
        <w:rPr>
          <w:lang w:val="en-US"/>
        </w:rPr>
        <w:t>Ontwikkel</w:t>
      </w:r>
      <w:r w:rsidR="00D604A6">
        <w:rPr>
          <w:lang w:val="en-US"/>
        </w:rPr>
        <w:t>afspraken</w:t>
      </w:r>
      <w:proofErr w:type="spellEnd"/>
    </w:p>
    <w:p w:rsidR="00C72D40" w:rsidRDefault="00C72D40">
      <w:r w:rsidRPr="00C72D40">
        <w:t xml:space="preserve">Ontwikkel rapporten lokaal. Het is mogelijk om </w:t>
      </w:r>
      <w:r>
        <w:t xml:space="preserve">met “preview” hetgeen wat je heb ontwikkelt in te zien. </w:t>
      </w:r>
      <w:r w:rsidR="005D6ECA">
        <w:t>“</w:t>
      </w:r>
      <w:proofErr w:type="spellStart"/>
      <w:r w:rsidR="005D6ECA">
        <w:t>Debug</w:t>
      </w:r>
      <w:proofErr w:type="spellEnd"/>
      <w:r w:rsidR="005D6ECA">
        <w:t xml:space="preserve">” zal het rapport </w:t>
      </w:r>
      <w:proofErr w:type="spellStart"/>
      <w:r w:rsidR="005D6ECA">
        <w:t>deployen</w:t>
      </w:r>
      <w:proofErr w:type="spellEnd"/>
      <w:r w:rsidR="005D6ECA">
        <w:t xml:space="preserve"> (op de testserver plaatsen). Dit moet je voorkomen.</w:t>
      </w:r>
    </w:p>
    <w:p w:rsidR="005D6ECA" w:rsidRDefault="005D6ECA">
      <w:r w:rsidRPr="005D6ECA">
        <w:drawing>
          <wp:inline distT="0" distB="0" distL="0" distR="0" wp14:anchorId="35A51113" wp14:editId="6D4B4665">
            <wp:extent cx="1876687" cy="3905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CA" w:rsidRDefault="005D6ECA">
      <w:r>
        <w:t xml:space="preserve">Rapporten voor PASS maken gebruik van </w:t>
      </w:r>
      <w:proofErr w:type="spellStart"/>
      <w:r>
        <w:t>queries</w:t>
      </w:r>
      <w:proofErr w:type="spellEnd"/>
      <w:r>
        <w:t xml:space="preserve"> om data op te halen uit de database. </w:t>
      </w:r>
      <w:proofErr w:type="spellStart"/>
      <w:r>
        <w:t>Queries</w:t>
      </w:r>
      <w:proofErr w:type="spellEnd"/>
      <w:r>
        <w:t xml:space="preserve"> kan je voorbereidend ontwikkelen met behulp van MS SQL Server Management Studio. </w:t>
      </w:r>
      <w:proofErr w:type="spellStart"/>
      <w:r>
        <w:t>Queries</w:t>
      </w:r>
      <w:proofErr w:type="spellEnd"/>
      <w:r>
        <w:t xml:space="preserve"> die specifiek voor het rapport gebruikt worden, moeten </w:t>
      </w:r>
      <w:proofErr w:type="spellStart"/>
      <w:r>
        <w:t>embedded</w:t>
      </w:r>
      <w:proofErr w:type="spellEnd"/>
      <w:r>
        <w:t xml:space="preserve"> in het rapport komen. </w:t>
      </w:r>
    </w:p>
    <w:p w:rsidR="00C869DF" w:rsidRDefault="005D6ECA" w:rsidP="005D6ECA">
      <w:proofErr w:type="spellStart"/>
      <w:r>
        <w:t>Queries</w:t>
      </w:r>
      <w:proofErr w:type="spellEnd"/>
      <w:r>
        <w:t xml:space="preserve"> die door meerdere rapporten gebruikt kunnen worden (zelfde inputparameters, algemene data) kunnen als Shared Dataset worden aangemaakt. </w:t>
      </w:r>
      <w:r w:rsidR="00C869DF">
        <w:t xml:space="preserve"> Dit kunnen bijvoorbeeld </w:t>
      </w:r>
      <w:proofErr w:type="spellStart"/>
      <w:r w:rsidR="00C869DF">
        <w:t>queries</w:t>
      </w:r>
      <w:proofErr w:type="spellEnd"/>
      <w:r w:rsidR="00C869DF">
        <w:t xml:space="preserve"> zijn welke als bron moeten dienen voor </w:t>
      </w:r>
      <w:proofErr w:type="spellStart"/>
      <w:r w:rsidR="00C869DF">
        <w:t>dropdown</w:t>
      </w:r>
      <w:proofErr w:type="spellEnd"/>
      <w:r w:rsidR="00C869DF">
        <w:t xml:space="preserve">-inputparameters. Geef deze datasets een “meta_”-prefix (bv </w:t>
      </w:r>
      <w:proofErr w:type="spellStart"/>
      <w:r w:rsidR="00C869DF">
        <w:t>meta_Employee</w:t>
      </w:r>
      <w:proofErr w:type="spellEnd"/>
      <w:r w:rsidR="00C869DF">
        <w:t>)</w:t>
      </w:r>
    </w:p>
    <w:p w:rsidR="00C869DF" w:rsidRDefault="00C869DF" w:rsidP="005D6ECA">
      <w:r>
        <w:t>Shared Datasets welke als report data dienen (dus de inhoud van een rapport) moeten als prefix “</w:t>
      </w:r>
      <w:proofErr w:type="spellStart"/>
      <w:r>
        <w:t>rd</w:t>
      </w:r>
      <w:proofErr w:type="spellEnd"/>
      <w:r>
        <w:t xml:space="preserve">_” krijgen. </w:t>
      </w:r>
    </w:p>
    <w:p w:rsidR="00D604A6" w:rsidRDefault="00D604A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17C68" w:rsidRDefault="00C17C68" w:rsidP="00765D9D">
      <w:pPr>
        <w:pStyle w:val="Heading2"/>
      </w:pPr>
      <w:r>
        <w:lastRenderedPageBreak/>
        <w:t>Ontwikkelen</w:t>
      </w:r>
    </w:p>
    <w:p w:rsidR="00E12D51" w:rsidRDefault="00E12D51" w:rsidP="005D6ECA"/>
    <w:p w:rsidR="00C869DF" w:rsidRDefault="00C17C68" w:rsidP="005D6ECA">
      <w:r>
        <w:t>Om nieuwe rapporten te maken kan je gebruik maken van het “_template “-rapport. Maak hier een kopie van en geef de kopie een zinnige naam. Deze wordt namelijk gebruikt als rapport-titel. Open expliciet de kopie om in te ontwikkelen.</w:t>
      </w:r>
    </w:p>
    <w:p w:rsidR="00C17C68" w:rsidRPr="00765D9D" w:rsidRDefault="00C17C68" w:rsidP="005D6ECA">
      <w:pPr>
        <w:rPr>
          <w:lang w:val="en-US"/>
        </w:rPr>
      </w:pPr>
      <w:r>
        <w:t>In het template-rapport is reeds een voorbeeld tabel (</w:t>
      </w:r>
      <w:proofErr w:type="spellStart"/>
      <w:r>
        <w:t>tablix</w:t>
      </w:r>
      <w:proofErr w:type="spellEnd"/>
      <w:r>
        <w:t xml:space="preserve">) gemaakt. Deze moet je voorzien van een eigen dataset. </w:t>
      </w:r>
      <w:r w:rsidRPr="00765D9D">
        <w:rPr>
          <w:lang w:val="en-US"/>
        </w:rPr>
        <w:t>Open Report Data (CTRL+ALT+D | View-&gt;Report Data)</w:t>
      </w:r>
    </w:p>
    <w:p w:rsidR="00C17C68" w:rsidRDefault="00C17C68" w:rsidP="005D6ECA">
      <w:r w:rsidRPr="00C17C68">
        <w:drawing>
          <wp:inline distT="0" distB="0" distL="0" distR="0" wp14:anchorId="7FFA706D" wp14:editId="3E6A6ABD">
            <wp:extent cx="3381847" cy="1895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68" w:rsidRDefault="00C17C68" w:rsidP="005D6ECA">
      <w:r>
        <w:t xml:space="preserve">Voeg een nieuwe dataset toe door rechts te klikken op </w:t>
      </w:r>
      <w:proofErr w:type="spellStart"/>
      <w:r>
        <w:t>DataSets</w:t>
      </w:r>
      <w:proofErr w:type="spellEnd"/>
    </w:p>
    <w:p w:rsidR="00C17C68" w:rsidRDefault="00C17C68" w:rsidP="005D6ECA">
      <w:r w:rsidRPr="00C17C68">
        <w:drawing>
          <wp:inline distT="0" distB="0" distL="0" distR="0" wp14:anchorId="5738F29B" wp14:editId="3531CF64">
            <wp:extent cx="3303917" cy="3290218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4071" cy="329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68" w:rsidRDefault="00C17C68" w:rsidP="005D6ECA">
      <w:r>
        <w:t>Geef de dataset een zinnige naam.</w:t>
      </w:r>
      <w:r w:rsidR="00765D9D">
        <w:t xml:space="preserve"> Je kan kiezen om een shared dataset te gebruiken of een </w:t>
      </w:r>
      <w:proofErr w:type="spellStart"/>
      <w:r w:rsidR="00765D9D">
        <w:t>embedded</w:t>
      </w:r>
      <w:proofErr w:type="spellEnd"/>
      <w:r w:rsidR="00765D9D">
        <w:t xml:space="preserve"> aan te maken. Voor unieke data moet je </w:t>
      </w:r>
      <w:proofErr w:type="spellStart"/>
      <w:r w:rsidR="00765D9D">
        <w:t>embedded</w:t>
      </w:r>
      <w:proofErr w:type="spellEnd"/>
      <w:r w:rsidR="00765D9D">
        <w:t xml:space="preserve"> datasets maken. </w:t>
      </w:r>
    </w:p>
    <w:p w:rsidR="00765D9D" w:rsidRDefault="00765D9D" w:rsidP="005D6ECA">
      <w:r>
        <w:t xml:space="preserve">Selecteer de datasource (de template heeft reeds een datasource). In de “query”-box kan je je query toevoegen. Gebruik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om de velden in te voegen in het dataset.</w:t>
      </w:r>
    </w:p>
    <w:p w:rsidR="00765D9D" w:rsidRDefault="00765D9D" w:rsidP="005D6ECA">
      <w:r>
        <w:lastRenderedPageBreak/>
        <w:t xml:space="preserve">Je kan de </w:t>
      </w:r>
      <w:proofErr w:type="spellStart"/>
      <w:r>
        <w:t>tabblix</w:t>
      </w:r>
      <w:proofErr w:type="spellEnd"/>
      <w:r>
        <w:t xml:space="preserve"> koppelen met het nieuw aangemaakte dataset. Klik hiervoor op 1 </w:t>
      </w:r>
      <w:proofErr w:type="spellStart"/>
      <w:r>
        <w:t>cell</w:t>
      </w:r>
      <w:proofErr w:type="spellEnd"/>
      <w:r>
        <w:t xml:space="preserve"> in het </w:t>
      </w:r>
      <w:proofErr w:type="spellStart"/>
      <w:r>
        <w:t>Tablix</w:t>
      </w:r>
      <w:proofErr w:type="spellEnd"/>
      <w:r>
        <w:t xml:space="preserve">. Rechtsklik op het grijze vlak linksboven en select </w:t>
      </w:r>
      <w:proofErr w:type="spellStart"/>
      <w:r>
        <w:t>Tablix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. Hier kan je de dataset binden.</w:t>
      </w:r>
    </w:p>
    <w:p w:rsidR="00765D9D" w:rsidRDefault="00765D9D" w:rsidP="005D6ECA">
      <w:r w:rsidRPr="00765D9D">
        <w:drawing>
          <wp:inline distT="0" distB="0" distL="0" distR="0" wp14:anchorId="2262EC8B" wp14:editId="481967DD">
            <wp:extent cx="4115375" cy="7430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CA" w:rsidRDefault="00765D9D" w:rsidP="005D6ECA">
      <w:r>
        <w:t xml:space="preserve">De data van de dataset kan je </w:t>
      </w:r>
      <w:r w:rsidR="0050044E">
        <w:t>vervolgens</w:t>
      </w:r>
      <w:r>
        <w:t xml:space="preserve"> toekennen aan de cellen in de </w:t>
      </w:r>
      <w:proofErr w:type="spellStart"/>
      <w:r>
        <w:t>tablix</w:t>
      </w:r>
      <w:proofErr w:type="spellEnd"/>
      <w:r>
        <w:t>.</w:t>
      </w:r>
    </w:p>
    <w:p w:rsidR="00765D9D" w:rsidRDefault="00765D9D" w:rsidP="0082319A">
      <w:pPr>
        <w:pStyle w:val="Heading3"/>
      </w:pPr>
      <w:r>
        <w:t>Tip</w:t>
      </w:r>
    </w:p>
    <w:p w:rsidR="00765D9D" w:rsidRDefault="00765D9D" w:rsidP="005D6ECA">
      <w:r>
        <w:t>Om snel te werken kan je ook de report wizard gebruiken om snel een tabel te ontwikkelen.</w:t>
      </w:r>
    </w:p>
    <w:p w:rsidR="0050044E" w:rsidRDefault="00765D9D" w:rsidP="005D6ECA">
      <w:r w:rsidRPr="00765D9D">
        <w:drawing>
          <wp:inline distT="0" distB="0" distL="0" distR="0" wp14:anchorId="497397BE" wp14:editId="72912265">
            <wp:extent cx="2216989" cy="849060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295" cy="84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Selecteer </w:t>
      </w:r>
      <w:proofErr w:type="spellStart"/>
      <w:r>
        <w:t>Add</w:t>
      </w:r>
      <w:proofErr w:type="spellEnd"/>
      <w:r>
        <w:t xml:space="preserve"> New Report en loop de wizard door. Er wordt dan een </w:t>
      </w:r>
      <w:r w:rsidR="0050044E">
        <w:t xml:space="preserve">tabel voor gegenereerd waarbij de </w:t>
      </w:r>
      <w:proofErr w:type="spellStart"/>
      <w:r w:rsidR="0050044E">
        <w:t>kolomen</w:t>
      </w:r>
      <w:proofErr w:type="spellEnd"/>
      <w:r w:rsidR="0050044E">
        <w:t xml:space="preserve"> en cellen reeds zijn ingevuld. Deze kan je dan kopiëren naar het nieuwe rapport. </w:t>
      </w:r>
    </w:p>
    <w:p w:rsidR="0050044E" w:rsidRDefault="0050044E" w:rsidP="005D6ECA">
      <w:r>
        <w:t xml:space="preserve">Let wel op dat de gebruikte dataset niet gekopieerd wordt. Deze moet apart aangemaakt en gekoppeld worden aan het gekopieerde </w:t>
      </w:r>
      <w:proofErr w:type="spellStart"/>
      <w:r>
        <w:t>tablix</w:t>
      </w:r>
      <w:proofErr w:type="spellEnd"/>
      <w:r>
        <w:t xml:space="preserve">. Ook moet de styling van de </w:t>
      </w:r>
      <w:proofErr w:type="spellStart"/>
      <w:r>
        <w:t>tablix</w:t>
      </w:r>
      <w:proofErr w:type="spellEnd"/>
      <w:r>
        <w:t xml:space="preserve"> aangepast worden zoals de rest van de rapporten.</w:t>
      </w:r>
    </w:p>
    <w:p w:rsidR="0082319A" w:rsidRDefault="0082319A" w:rsidP="005D6ECA">
      <w:r>
        <w:t>Vergeet het wizard-rapport niet te verwijderen na afloop.</w:t>
      </w:r>
    </w:p>
    <w:p w:rsidR="0082319A" w:rsidRDefault="0082319A" w:rsidP="00C049AC">
      <w:pPr>
        <w:pStyle w:val="Heading2"/>
      </w:pPr>
      <w:r>
        <w:t>Nieuwe projecten voor klanten aanmaken</w:t>
      </w:r>
    </w:p>
    <w:p w:rsidR="0082319A" w:rsidRDefault="0082319A" w:rsidP="005D6ECA">
      <w:r>
        <w:t>Maak een nieuw project aan onder de solution.</w:t>
      </w:r>
    </w:p>
    <w:p w:rsidR="0082319A" w:rsidRDefault="0082319A" w:rsidP="005D6ECA">
      <w:r>
        <w:t>Maak een Shared Datasource aan voor dit project welke naar de database van de klant verwijst.</w:t>
      </w:r>
    </w:p>
    <w:p w:rsidR="0082319A" w:rsidRDefault="0082319A" w:rsidP="005D6ECA">
      <w:r>
        <w:t xml:space="preserve">Pas de configuratie voor </w:t>
      </w:r>
      <w:proofErr w:type="spellStart"/>
      <w:r>
        <w:t>debug-deploy</w:t>
      </w:r>
      <w:proofErr w:type="spellEnd"/>
      <w:r>
        <w:t xml:space="preserve"> aan (rechtermuisknop op project-&gt;</w:t>
      </w:r>
      <w:proofErr w:type="spellStart"/>
      <w:r>
        <w:t>Properties</w:t>
      </w:r>
      <w:proofErr w:type="spellEnd"/>
      <w:r>
        <w:t>).</w:t>
      </w:r>
    </w:p>
    <w:p w:rsidR="0082319A" w:rsidRDefault="00C049AC" w:rsidP="005D6ECA">
      <w:r w:rsidRPr="0082319A">
        <w:drawing>
          <wp:anchor distT="0" distB="0" distL="114300" distR="114300" simplePos="0" relativeHeight="251658240" behindDoc="0" locked="0" layoutInCell="1" allowOverlap="1" wp14:anchorId="6620ACA9" wp14:editId="0E8CC1AA">
            <wp:simplePos x="0" y="0"/>
            <wp:positionH relativeFrom="column">
              <wp:posOffset>2601595</wp:posOffset>
            </wp:positionH>
            <wp:positionV relativeFrom="paragraph">
              <wp:posOffset>205740</wp:posOffset>
            </wp:positionV>
            <wp:extent cx="3583305" cy="215646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19A">
        <w:t xml:space="preserve">Zorg ervoor dat </w:t>
      </w:r>
      <w:proofErr w:type="spellStart"/>
      <w:r w:rsidR="0082319A">
        <w:t>OverwriteDatasets</w:t>
      </w:r>
      <w:proofErr w:type="spellEnd"/>
      <w:r w:rsidR="0082319A">
        <w:t xml:space="preserve"> en </w:t>
      </w:r>
      <w:proofErr w:type="spellStart"/>
      <w:r w:rsidR="0082319A">
        <w:t>OverwriteDatasources</w:t>
      </w:r>
      <w:proofErr w:type="spellEnd"/>
      <w:r w:rsidR="0082319A">
        <w:t xml:space="preserve"> op True staan.</w:t>
      </w:r>
    </w:p>
    <w:p w:rsidR="0082319A" w:rsidRDefault="0082319A" w:rsidP="005D6ECA">
      <w:proofErr w:type="spellStart"/>
      <w:r>
        <w:t>TargetDatasetFolder</w:t>
      </w:r>
      <w:proofErr w:type="spellEnd"/>
      <w:r>
        <w:t xml:space="preserve"> en </w:t>
      </w:r>
      <w:proofErr w:type="spellStart"/>
      <w:r>
        <w:t>targetDataSourceFolder</w:t>
      </w:r>
      <w:proofErr w:type="spellEnd"/>
      <w:r>
        <w:t xml:space="preserve"> moeten </w:t>
      </w:r>
      <w:proofErr w:type="spellStart"/>
      <w:r>
        <w:t>subfolders</w:t>
      </w:r>
      <w:proofErr w:type="spellEnd"/>
      <w:r>
        <w:t xml:space="preserve"> zijn van de </w:t>
      </w:r>
      <w:proofErr w:type="spellStart"/>
      <w:r>
        <w:t>TargetReportFOlder</w:t>
      </w:r>
      <w:proofErr w:type="spellEnd"/>
      <w:r>
        <w:t>.</w:t>
      </w:r>
    </w:p>
    <w:p w:rsidR="0082319A" w:rsidRDefault="0082319A" w:rsidP="005D6ECA">
      <w:r>
        <w:t>Vul de rest van de opties aan met zinnige instellingen</w:t>
      </w:r>
    </w:p>
    <w:p w:rsidR="0082319A" w:rsidRDefault="0082319A" w:rsidP="005D6ECA"/>
    <w:p w:rsidR="0082319A" w:rsidRDefault="0082319A" w:rsidP="005D6ECA"/>
    <w:p w:rsidR="0082319A" w:rsidRDefault="0082319A" w:rsidP="0082319A">
      <w:pPr>
        <w:pStyle w:val="Heading1"/>
      </w:pPr>
      <w:r>
        <w:lastRenderedPageBreak/>
        <w:t>Opleveren</w:t>
      </w:r>
    </w:p>
    <w:p w:rsidR="0082319A" w:rsidRDefault="0082319A" w:rsidP="0082319A">
      <w:pPr>
        <w:pStyle w:val="Heading2"/>
      </w:pPr>
      <w:r>
        <w:t>Opleveren op de testserver</w:t>
      </w:r>
    </w:p>
    <w:p w:rsidR="0082319A" w:rsidRDefault="0082319A" w:rsidP="005D6ECA">
      <w:r>
        <w:t xml:space="preserve">Zet de solution op </w:t>
      </w:r>
      <w:proofErr w:type="spellStart"/>
      <w:r>
        <w:t>Debug</w:t>
      </w:r>
      <w:proofErr w:type="spellEnd"/>
      <w:r>
        <w:t>.</w:t>
      </w:r>
    </w:p>
    <w:p w:rsidR="0082319A" w:rsidRDefault="0082319A" w:rsidP="005D6ECA">
      <w:r w:rsidRPr="0082319A">
        <w:drawing>
          <wp:inline distT="0" distB="0" distL="0" distR="0" wp14:anchorId="1342AB33" wp14:editId="652BFB1C">
            <wp:extent cx="1352739" cy="33342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9A" w:rsidRDefault="0082319A" w:rsidP="005D6ECA">
      <w:r>
        <w:t xml:space="preserve">Rechtsklik op hetgeen wat je wilt opleveren en klik op </w:t>
      </w:r>
      <w:proofErr w:type="spellStart"/>
      <w:r>
        <w:t>deploy</w:t>
      </w:r>
      <w:proofErr w:type="spellEnd"/>
      <w:r>
        <w:t xml:space="preserve">. Het is mogelijk om het hele project in een keer op te leveren. Maar het is </w:t>
      </w:r>
      <w:r w:rsidR="003203BC">
        <w:t>sneller</w:t>
      </w:r>
      <w:r>
        <w:t xml:space="preserve"> om enkel het gemaakte rapport </w:t>
      </w:r>
      <w:r w:rsidR="003203BC">
        <w:t>op te leveren.</w:t>
      </w:r>
    </w:p>
    <w:p w:rsidR="003203BC" w:rsidRDefault="003203BC" w:rsidP="005D6ECA">
      <w:r>
        <w:t>Test het opgeleverde rapport door deze te openen</w:t>
      </w:r>
      <w:r w:rsidR="008C1ECE">
        <w:t xml:space="preserve"> en te gebruiken</w:t>
      </w:r>
      <w:r>
        <w:t xml:space="preserve"> in Internet Explorer</w:t>
      </w:r>
      <w:r w:rsidR="00E7140D">
        <w:t xml:space="preserve">, </w:t>
      </w:r>
      <w:proofErr w:type="spellStart"/>
      <w:r w:rsidR="00E7140D">
        <w:t>chrome</w:t>
      </w:r>
      <w:proofErr w:type="spellEnd"/>
      <w:r w:rsidR="00E7140D">
        <w:t xml:space="preserve"> en </w:t>
      </w:r>
      <w:proofErr w:type="spellStart"/>
      <w:r w:rsidR="00E7140D">
        <w:t>firefox</w:t>
      </w:r>
      <w:proofErr w:type="spellEnd"/>
      <w:r>
        <w:t>.</w:t>
      </w:r>
    </w:p>
    <w:p w:rsidR="0082319A" w:rsidRDefault="003203BC" w:rsidP="003203BC">
      <w:pPr>
        <w:pStyle w:val="Heading2"/>
      </w:pPr>
      <w:r>
        <w:t>Opleveren op productie</w:t>
      </w:r>
    </w:p>
    <w:p w:rsidR="003203BC" w:rsidRPr="003203BC" w:rsidRDefault="003203BC" w:rsidP="003203BC">
      <w:r>
        <w:t>&lt;nader te bepalen&gt;</w:t>
      </w:r>
    </w:p>
    <w:p w:rsidR="00765D9D" w:rsidRPr="00C72D40" w:rsidRDefault="00765D9D" w:rsidP="005D6ECA"/>
    <w:p w:rsidR="00374604" w:rsidRDefault="003746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56A29" w:rsidRDefault="00CF2ED9" w:rsidP="003203BC">
      <w:pPr>
        <w:pStyle w:val="Heading1"/>
      </w:pPr>
      <w:bookmarkStart w:id="0" w:name="_GoBack"/>
      <w:bookmarkEnd w:id="0"/>
      <w:proofErr w:type="spellStart"/>
      <w:r w:rsidRPr="00CF2ED9">
        <w:lastRenderedPageBreak/>
        <w:t>Known</w:t>
      </w:r>
      <w:proofErr w:type="spellEnd"/>
      <w:r w:rsidRPr="00CF2ED9">
        <w:t xml:space="preserve"> issues</w:t>
      </w:r>
      <w:r w:rsidR="003203BC">
        <w:t xml:space="preserve"> &amp; </w:t>
      </w:r>
      <w:proofErr w:type="spellStart"/>
      <w:r w:rsidR="003203BC">
        <w:t>quirks</w:t>
      </w:r>
      <w:proofErr w:type="spellEnd"/>
    </w:p>
    <w:p w:rsidR="007B4906" w:rsidRDefault="007B4906" w:rsidP="003203BC"/>
    <w:p w:rsidR="001177FC" w:rsidRDefault="001177FC" w:rsidP="001177FC">
      <w:pPr>
        <w:pStyle w:val="Heading2"/>
      </w:pPr>
      <w:r>
        <w:t xml:space="preserve">Access </w:t>
      </w:r>
      <w:proofErr w:type="spellStart"/>
      <w:r>
        <w:t>denied</w:t>
      </w:r>
      <w:proofErr w:type="spellEnd"/>
      <w:r>
        <w:t xml:space="preserve"> in preview mode</w:t>
      </w:r>
    </w:p>
    <w:p w:rsidR="001177FC" w:rsidRDefault="001177FC" w:rsidP="003203BC">
      <w:r>
        <w:t xml:space="preserve">Bij het ontwikkelen van een rapport kan bij het “preview” van een nieuw gemaakte rapport de volgende fout voorkomen: </w:t>
      </w:r>
      <w:r w:rsidRPr="001177FC">
        <w:rPr>
          <w:rStyle w:val="SubtleEmphasis"/>
        </w:rPr>
        <w:t xml:space="preserve">An error </w:t>
      </w:r>
      <w:proofErr w:type="spellStart"/>
      <w:r w:rsidRPr="001177FC">
        <w:rPr>
          <w:rStyle w:val="SubtleEmphasis"/>
        </w:rPr>
        <w:t>occurred</w:t>
      </w:r>
      <w:proofErr w:type="spellEnd"/>
      <w:r w:rsidRPr="001177FC">
        <w:rPr>
          <w:rStyle w:val="SubtleEmphasis"/>
        </w:rPr>
        <w:t xml:space="preserve"> </w:t>
      </w:r>
      <w:proofErr w:type="spellStart"/>
      <w:r w:rsidRPr="001177FC">
        <w:rPr>
          <w:rStyle w:val="SubtleEmphasis"/>
        </w:rPr>
        <w:t>during</w:t>
      </w:r>
      <w:proofErr w:type="spellEnd"/>
      <w:r w:rsidRPr="001177FC">
        <w:rPr>
          <w:rStyle w:val="SubtleEmphasis"/>
        </w:rPr>
        <w:t xml:space="preserve"> </w:t>
      </w:r>
      <w:proofErr w:type="spellStart"/>
      <w:r w:rsidRPr="001177FC">
        <w:rPr>
          <w:rStyle w:val="SubtleEmphasis"/>
        </w:rPr>
        <w:t>local</w:t>
      </w:r>
      <w:proofErr w:type="spellEnd"/>
      <w:r w:rsidRPr="001177FC">
        <w:rPr>
          <w:rStyle w:val="SubtleEmphasis"/>
        </w:rPr>
        <w:t xml:space="preserve"> report processing. Access </w:t>
      </w:r>
      <w:proofErr w:type="spellStart"/>
      <w:r w:rsidRPr="001177FC">
        <w:rPr>
          <w:rStyle w:val="SubtleEmphasis"/>
        </w:rPr>
        <w:t>Denied</w:t>
      </w:r>
      <w:proofErr w:type="spellEnd"/>
      <w:r w:rsidRPr="001177FC">
        <w:rPr>
          <w:rStyle w:val="SubtleEmphasis"/>
        </w:rPr>
        <w:t>. (</w:t>
      </w:r>
      <w:proofErr w:type="spellStart"/>
      <w:r w:rsidRPr="001177FC">
        <w:rPr>
          <w:rStyle w:val="SubtleEmphasis"/>
        </w:rPr>
        <w:t>Exception</w:t>
      </w:r>
      <w:proofErr w:type="spellEnd"/>
      <w:r w:rsidRPr="001177FC">
        <w:rPr>
          <w:rStyle w:val="SubtleEmphasis"/>
        </w:rPr>
        <w:t xml:space="preserve"> </w:t>
      </w:r>
      <w:proofErr w:type="spellStart"/>
      <w:r w:rsidRPr="001177FC">
        <w:rPr>
          <w:rStyle w:val="SubtleEmphasis"/>
        </w:rPr>
        <w:t>from</w:t>
      </w:r>
      <w:proofErr w:type="spellEnd"/>
      <w:r w:rsidRPr="001177FC">
        <w:rPr>
          <w:rStyle w:val="SubtleEmphasis"/>
        </w:rPr>
        <w:t xml:space="preserve"> HRESULT: 0x80030005 (STG_E_ACCESSDENIED))</w:t>
      </w:r>
    </w:p>
    <w:p w:rsidR="001177FC" w:rsidRDefault="001177FC" w:rsidP="003203BC">
      <w:r>
        <w:t xml:space="preserve">Dit komt omdat de integratie van Reporting Service-projecten en TFS niet goed is opgesteld. “tijdelijke” </w:t>
      </w:r>
      <w:r w:rsidRPr="001177FC">
        <w:t>.</w:t>
      </w:r>
      <w:proofErr w:type="spellStart"/>
      <w:r w:rsidRPr="001177FC">
        <w:t>data</w:t>
      </w:r>
      <w:r>
        <w:t>-bestanden</w:t>
      </w:r>
      <w:proofErr w:type="spellEnd"/>
      <w:r>
        <w:t xml:space="preserve"> worden dan aangemaakt en </w:t>
      </w:r>
      <w:proofErr w:type="spellStart"/>
      <w:r>
        <w:t>read-only</w:t>
      </w:r>
      <w:proofErr w:type="spellEnd"/>
      <w:r>
        <w:t xml:space="preserve"> gezet. De makkelijkste manier is om binnen jouw </w:t>
      </w:r>
      <w:proofErr w:type="spellStart"/>
      <w:r>
        <w:t>working</w:t>
      </w:r>
      <w:proofErr w:type="spellEnd"/>
      <w:r>
        <w:t xml:space="preserve"> folder de </w:t>
      </w:r>
      <w:proofErr w:type="spellStart"/>
      <w:r>
        <w:t>readonly-flag</w:t>
      </w:r>
      <w:proofErr w:type="spellEnd"/>
      <w:r>
        <w:t xml:space="preserve"> weg te halen bij de desbetreffende bestanden. </w:t>
      </w:r>
    </w:p>
    <w:p w:rsidR="001177FC" w:rsidRDefault="001177FC" w:rsidP="003203BC">
      <w:r w:rsidRPr="001177FC">
        <w:drawing>
          <wp:inline distT="0" distB="0" distL="0" distR="0" wp14:anchorId="11F1C2BD" wp14:editId="61390CC4">
            <wp:extent cx="2475781" cy="3316365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7738" cy="331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BC" w:rsidRDefault="003203BC" w:rsidP="003203BC"/>
    <w:p w:rsidR="003203BC" w:rsidRPr="003203BC" w:rsidRDefault="003203BC" w:rsidP="003203BC">
      <w:pPr>
        <w:pStyle w:val="Heading2"/>
      </w:pPr>
      <w:r>
        <w:t>Browser issues</w:t>
      </w:r>
    </w:p>
    <w:p w:rsidR="008C1ECE" w:rsidRDefault="00CF2ED9">
      <w:r w:rsidRPr="00CF2ED9">
        <w:t xml:space="preserve">Reporting service werkt standaard niet goed met </w:t>
      </w:r>
      <w:proofErr w:type="spellStart"/>
      <w:r w:rsidRPr="00CF2ED9">
        <w:t>niet-IE</w:t>
      </w:r>
      <w:proofErr w:type="spellEnd"/>
      <w:r w:rsidRPr="00CF2ED9">
        <w:t xml:space="preserve"> browsers (en IE-browsers hoger dan versie 9). </w:t>
      </w:r>
      <w:r w:rsidR="008C1ECE">
        <w:t>Deze blijven bv wit.</w:t>
      </w:r>
    </w:p>
    <w:p w:rsidR="00CF2ED9" w:rsidRDefault="00CF2ED9">
      <w:r>
        <w:t>Dit kan grotendeels opgelost worden door</w:t>
      </w:r>
      <w:r w:rsidR="003203BC">
        <w:t xml:space="preserve"> op de server waar </w:t>
      </w:r>
      <w:proofErr w:type="spellStart"/>
      <w:r w:rsidR="003203BC">
        <w:t>reporting</w:t>
      </w:r>
      <w:proofErr w:type="spellEnd"/>
      <w:r w:rsidR="003203BC">
        <w:t xml:space="preserve"> service draait het volgende script aan te passen: </w:t>
      </w:r>
      <w:r w:rsidR="003203BC" w:rsidRPr="003203BC">
        <w:t>C:\Program Files\Microsoft SQL Server\MSRS10_50.MSSQLSERVER\Reporting Services\</w:t>
      </w:r>
      <w:proofErr w:type="spellStart"/>
      <w:r w:rsidR="003203BC" w:rsidRPr="003203BC">
        <w:t>ReportManager</w:t>
      </w:r>
      <w:proofErr w:type="spellEnd"/>
      <w:r w:rsidR="003203BC" w:rsidRPr="003203BC">
        <w:t>\</w:t>
      </w:r>
      <w:proofErr w:type="spellStart"/>
      <w:r w:rsidR="003203BC" w:rsidRPr="003203BC">
        <w:t>js</w:t>
      </w:r>
      <w:proofErr w:type="spellEnd"/>
      <w:r w:rsidR="003203BC" w:rsidRPr="003203BC">
        <w:t>\ReportingServices.js</w:t>
      </w:r>
    </w:p>
    <w:p w:rsidR="003203BC" w:rsidRDefault="003203BC">
      <w:r>
        <w:t>Deze moet (helemaal onderaan) voorzien worden van de volgende code:</w:t>
      </w:r>
    </w:p>
    <w:p w:rsidR="003203BC" w:rsidRPr="003203BC" w:rsidRDefault="003203BC" w:rsidP="003203BC">
      <w:pPr>
        <w:rPr>
          <w:rStyle w:val="SubtleEmphasis"/>
        </w:rPr>
      </w:pPr>
      <w:proofErr w:type="spellStart"/>
      <w:r w:rsidRPr="003203BC">
        <w:rPr>
          <w:rStyle w:val="SubtleEmphasis"/>
        </w:rPr>
        <w:t>function</w:t>
      </w:r>
      <w:proofErr w:type="spellEnd"/>
      <w:r w:rsidRPr="003203BC">
        <w:rPr>
          <w:rStyle w:val="SubtleEmphasis"/>
        </w:rPr>
        <w:t xml:space="preserve"> </w:t>
      </w:r>
      <w:proofErr w:type="spellStart"/>
      <w:r w:rsidRPr="003203BC">
        <w:rPr>
          <w:rStyle w:val="SubtleEmphasis"/>
        </w:rPr>
        <w:t>pageLoad</w:t>
      </w:r>
      <w:proofErr w:type="spellEnd"/>
      <w:r w:rsidRPr="003203BC">
        <w:rPr>
          <w:rStyle w:val="SubtleEmphasis"/>
        </w:rPr>
        <w:t xml:space="preserve">() {    </w:t>
      </w:r>
    </w:p>
    <w:p w:rsidR="003203BC" w:rsidRPr="003203BC" w:rsidRDefault="003203BC" w:rsidP="003203BC">
      <w:pPr>
        <w:rPr>
          <w:rStyle w:val="SubtleEmphasis"/>
        </w:rPr>
      </w:pPr>
      <w:r w:rsidRPr="003203BC">
        <w:rPr>
          <w:rStyle w:val="SubtleEmphasis"/>
        </w:rPr>
        <w:t xml:space="preserve">var element = </w:t>
      </w:r>
      <w:proofErr w:type="spellStart"/>
      <w:r w:rsidRPr="003203BC">
        <w:rPr>
          <w:rStyle w:val="SubtleEmphasis"/>
        </w:rPr>
        <w:t>document.getElementById</w:t>
      </w:r>
      <w:proofErr w:type="spellEnd"/>
      <w:r w:rsidRPr="003203BC">
        <w:rPr>
          <w:rStyle w:val="SubtleEmphasis"/>
        </w:rPr>
        <w:t>("ctl31_ctl10");</w:t>
      </w:r>
    </w:p>
    <w:p w:rsidR="003203BC" w:rsidRPr="003203BC" w:rsidRDefault="003203BC" w:rsidP="003203BC">
      <w:pPr>
        <w:rPr>
          <w:rStyle w:val="SubtleEmphasis"/>
        </w:rPr>
      </w:pPr>
      <w:proofErr w:type="spellStart"/>
      <w:r w:rsidRPr="003203BC">
        <w:rPr>
          <w:rStyle w:val="SubtleEmphasis"/>
        </w:rPr>
        <w:t>if</w:t>
      </w:r>
      <w:proofErr w:type="spellEnd"/>
      <w:r w:rsidRPr="003203BC">
        <w:rPr>
          <w:rStyle w:val="SubtleEmphasis"/>
        </w:rPr>
        <w:t xml:space="preserve"> (!element)</w:t>
      </w:r>
    </w:p>
    <w:p w:rsidR="003203BC" w:rsidRPr="003203BC" w:rsidRDefault="003203BC" w:rsidP="003203BC">
      <w:pPr>
        <w:rPr>
          <w:rStyle w:val="SubtleEmphasis"/>
        </w:rPr>
      </w:pPr>
      <w:r w:rsidRPr="003203BC">
        <w:rPr>
          <w:rStyle w:val="SubtleEmphasis"/>
        </w:rPr>
        <w:lastRenderedPageBreak/>
        <w:t>{</w:t>
      </w:r>
    </w:p>
    <w:p w:rsidR="003203BC" w:rsidRPr="003203BC" w:rsidRDefault="003203BC" w:rsidP="003203BC">
      <w:pPr>
        <w:rPr>
          <w:rStyle w:val="SubtleEmphasis"/>
        </w:rPr>
      </w:pPr>
      <w:r w:rsidRPr="003203BC">
        <w:rPr>
          <w:rStyle w:val="SubtleEmphasis"/>
        </w:rPr>
        <w:tab/>
        <w:t xml:space="preserve">element = </w:t>
      </w:r>
      <w:proofErr w:type="spellStart"/>
      <w:r w:rsidRPr="003203BC">
        <w:rPr>
          <w:rStyle w:val="SubtleEmphasis"/>
        </w:rPr>
        <w:t>document.getElementById</w:t>
      </w:r>
      <w:proofErr w:type="spellEnd"/>
      <w:r w:rsidRPr="003203BC">
        <w:rPr>
          <w:rStyle w:val="SubtleEmphasis"/>
        </w:rPr>
        <w:t xml:space="preserve">("ctl32_ctl09"); </w:t>
      </w:r>
    </w:p>
    <w:p w:rsidR="003203BC" w:rsidRPr="003203BC" w:rsidRDefault="003203BC" w:rsidP="003203BC">
      <w:pPr>
        <w:rPr>
          <w:rStyle w:val="SubtleEmphasis"/>
        </w:rPr>
      </w:pPr>
      <w:r w:rsidRPr="003203BC">
        <w:rPr>
          <w:rStyle w:val="SubtleEmphasis"/>
        </w:rPr>
        <w:t>}</w:t>
      </w:r>
    </w:p>
    <w:p w:rsidR="003203BC" w:rsidRPr="003203BC" w:rsidRDefault="003203BC" w:rsidP="003203BC">
      <w:pPr>
        <w:rPr>
          <w:rStyle w:val="SubtleEmphasis"/>
        </w:rPr>
      </w:pPr>
    </w:p>
    <w:p w:rsidR="003203BC" w:rsidRPr="003203BC" w:rsidRDefault="003203BC" w:rsidP="003203BC">
      <w:pPr>
        <w:rPr>
          <w:rStyle w:val="SubtleEmphasis"/>
        </w:rPr>
      </w:pPr>
      <w:proofErr w:type="spellStart"/>
      <w:r w:rsidRPr="003203BC">
        <w:rPr>
          <w:rStyle w:val="SubtleEmphasis"/>
        </w:rPr>
        <w:t>if</w:t>
      </w:r>
      <w:proofErr w:type="spellEnd"/>
      <w:r w:rsidRPr="003203BC">
        <w:rPr>
          <w:rStyle w:val="SubtleEmphasis"/>
        </w:rPr>
        <w:t xml:space="preserve"> (element) </w:t>
      </w:r>
    </w:p>
    <w:p w:rsidR="003203BC" w:rsidRPr="003203BC" w:rsidRDefault="003203BC" w:rsidP="003203BC">
      <w:pPr>
        <w:rPr>
          <w:rStyle w:val="SubtleEmphasis"/>
        </w:rPr>
      </w:pPr>
      <w:r w:rsidRPr="003203BC">
        <w:rPr>
          <w:rStyle w:val="SubtleEmphasis"/>
        </w:rPr>
        <w:t>{</w:t>
      </w:r>
    </w:p>
    <w:p w:rsidR="003203BC" w:rsidRPr="003203BC" w:rsidRDefault="003203BC" w:rsidP="003203BC">
      <w:pPr>
        <w:rPr>
          <w:rStyle w:val="SubtleEmphasis"/>
        </w:rPr>
      </w:pPr>
      <w:r w:rsidRPr="003203BC">
        <w:rPr>
          <w:rStyle w:val="SubtleEmphasis"/>
        </w:rPr>
        <w:t xml:space="preserve">    </w:t>
      </w:r>
      <w:proofErr w:type="spellStart"/>
      <w:r w:rsidRPr="003203BC">
        <w:rPr>
          <w:rStyle w:val="SubtleEmphasis"/>
        </w:rPr>
        <w:t>element.style.overflow</w:t>
      </w:r>
      <w:proofErr w:type="spellEnd"/>
      <w:r w:rsidRPr="003203BC">
        <w:rPr>
          <w:rStyle w:val="SubtleEmphasis"/>
        </w:rPr>
        <w:t xml:space="preserve"> = "</w:t>
      </w:r>
      <w:proofErr w:type="spellStart"/>
      <w:r w:rsidRPr="003203BC">
        <w:rPr>
          <w:rStyle w:val="SubtleEmphasis"/>
        </w:rPr>
        <w:t>visible</w:t>
      </w:r>
      <w:proofErr w:type="spellEnd"/>
      <w:r w:rsidRPr="003203BC">
        <w:rPr>
          <w:rStyle w:val="SubtleEmphasis"/>
        </w:rPr>
        <w:t xml:space="preserve">"; </w:t>
      </w:r>
    </w:p>
    <w:p w:rsidR="003203BC" w:rsidRPr="003203BC" w:rsidRDefault="003203BC" w:rsidP="003203BC">
      <w:pPr>
        <w:rPr>
          <w:rStyle w:val="SubtleEmphasis"/>
        </w:rPr>
      </w:pPr>
      <w:r w:rsidRPr="003203BC">
        <w:rPr>
          <w:rStyle w:val="SubtleEmphasis"/>
        </w:rPr>
        <w:t>} }</w:t>
      </w:r>
    </w:p>
    <w:p w:rsidR="003203BC" w:rsidRDefault="008C1ECE">
      <w:r>
        <w:t>Helaas wordt hiermee niet alle functionaliteit geactiveerd (zoals het selecteren van datum), maar het rapport functioneert tenminste wel.</w:t>
      </w:r>
    </w:p>
    <w:p w:rsidR="003203BC" w:rsidRDefault="003203BC"/>
    <w:p w:rsidR="00CF2ED9" w:rsidRPr="00CF2ED9" w:rsidRDefault="00CF2ED9"/>
    <w:sectPr w:rsidR="00CF2ED9" w:rsidRPr="00CF2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C27" w:rsidRDefault="00147C27" w:rsidP="001D655F">
      <w:pPr>
        <w:spacing w:after="0" w:line="240" w:lineRule="auto"/>
      </w:pPr>
      <w:r>
        <w:separator/>
      </w:r>
    </w:p>
  </w:endnote>
  <w:endnote w:type="continuationSeparator" w:id="0">
    <w:p w:rsidR="00147C27" w:rsidRDefault="00147C27" w:rsidP="001D6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C27" w:rsidRDefault="00147C27" w:rsidP="001D655F">
      <w:pPr>
        <w:spacing w:after="0" w:line="240" w:lineRule="auto"/>
      </w:pPr>
      <w:r>
        <w:separator/>
      </w:r>
    </w:p>
  </w:footnote>
  <w:footnote w:type="continuationSeparator" w:id="0">
    <w:p w:rsidR="00147C27" w:rsidRDefault="00147C27" w:rsidP="001D655F">
      <w:pPr>
        <w:spacing w:after="0" w:line="240" w:lineRule="auto"/>
      </w:pPr>
      <w:r>
        <w:continuationSeparator/>
      </w:r>
    </w:p>
  </w:footnote>
  <w:footnote w:id="1">
    <w:p w:rsidR="00F56A29" w:rsidRDefault="00F56A29" w:rsidP="00F56A29">
      <w:pPr>
        <w:pStyle w:val="FootnoteText"/>
      </w:pPr>
      <w:r>
        <w:rPr>
          <w:rStyle w:val="FootnoteReference"/>
        </w:rPr>
        <w:footnoteRef/>
      </w:r>
      <w:r>
        <w:t xml:space="preserve"> Indien geen rechten: vraag een TFS-</w:t>
      </w:r>
      <w:proofErr w:type="spellStart"/>
      <w:r>
        <w:t>admin</w:t>
      </w:r>
      <w:proofErr w:type="spellEnd"/>
      <w:r>
        <w:t xml:space="preserve"> om deze toe te kennen direct op project(TFS-&gt;&lt;project&gt; Rightclick-&gt;Security-&gt;</w:t>
      </w:r>
      <w:proofErr w:type="spellStart"/>
      <w:r>
        <w:t>Add</w:t>
      </w:r>
      <w:proofErr w:type="spellEnd"/>
      <w:r>
        <w:t xml:space="preserve">) of als algehele deelnemer van werkgroep(TFS-&gt;rightclick-&gt;Team Project Collection Settings-&gt;Group </w:t>
      </w:r>
      <w:proofErr w:type="spellStart"/>
      <w:r>
        <w:t>MemberShip</w:t>
      </w:r>
      <w:proofErr w:type="spellEnd"/>
      <w:r>
        <w:t>-&gt;&lt;</w:t>
      </w:r>
      <w:proofErr w:type="spellStart"/>
      <w:r>
        <w:t>Add</w:t>
      </w:r>
      <w:proofErr w:type="spellEnd"/>
      <w:r>
        <w:t xml:space="preserve"> user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appropiate</w:t>
      </w:r>
      <w:proofErr w:type="spellEnd"/>
      <w:r>
        <w:t xml:space="preserve"> </w:t>
      </w:r>
      <w:proofErr w:type="spellStart"/>
      <w:r>
        <w:t>group</w:t>
      </w:r>
      <w:proofErr w:type="spellEnd"/>
      <w:r>
        <w:t>&gt;</w:t>
      </w:r>
    </w:p>
    <w:p w:rsidR="00F56A29" w:rsidRDefault="00F56A29" w:rsidP="00F56A29">
      <w:pPr>
        <w:pStyle w:val="FootnoteText"/>
      </w:pPr>
      <w:r>
        <w:rPr>
          <w:noProof/>
          <w:lang w:eastAsia="nl-NL"/>
        </w:rPr>
        <w:drawing>
          <wp:inline distT="0" distB="0" distL="0" distR="0" wp14:anchorId="5449606C" wp14:editId="1E04ED46">
            <wp:extent cx="2534400" cy="792000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0582E"/>
    <w:multiLevelType w:val="hybridMultilevel"/>
    <w:tmpl w:val="2D9E6D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55F"/>
    <w:rsid w:val="000E595F"/>
    <w:rsid w:val="001177FC"/>
    <w:rsid w:val="00147C27"/>
    <w:rsid w:val="00152BB6"/>
    <w:rsid w:val="001D655F"/>
    <w:rsid w:val="003203BC"/>
    <w:rsid w:val="00374604"/>
    <w:rsid w:val="0050044E"/>
    <w:rsid w:val="00585B1E"/>
    <w:rsid w:val="005D6ECA"/>
    <w:rsid w:val="005F13A8"/>
    <w:rsid w:val="00707F91"/>
    <w:rsid w:val="00765D9D"/>
    <w:rsid w:val="007B4906"/>
    <w:rsid w:val="0082319A"/>
    <w:rsid w:val="008C1ECE"/>
    <w:rsid w:val="00A85A9C"/>
    <w:rsid w:val="00C049AC"/>
    <w:rsid w:val="00C17C68"/>
    <w:rsid w:val="00C72D40"/>
    <w:rsid w:val="00C869DF"/>
    <w:rsid w:val="00CF2ED9"/>
    <w:rsid w:val="00D604A6"/>
    <w:rsid w:val="00E12D51"/>
    <w:rsid w:val="00E7140D"/>
    <w:rsid w:val="00E8266E"/>
    <w:rsid w:val="00F5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1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55F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65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655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655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A29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F56A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82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2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82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7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1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203BC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152B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1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55F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65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655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655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A29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F56A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82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2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82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7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1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203BC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152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en-us/download/details.aspx?id=3684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cg-rwk-psrv01/Reportserv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ccg-rwk-psrv01/Report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omn-dv03:8080/tfs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957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 Group B.V.</Company>
  <LinksUpToDate>false</LinksUpToDate>
  <CharactersWithSpaces>6209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 Group B.V.</dc:creator>
  <cp:lastModifiedBy>CC Group B.V.</cp:lastModifiedBy>
  <cp:revision>16</cp:revision>
  <dcterms:created xsi:type="dcterms:W3CDTF">2015-03-12T07:16:00Z</dcterms:created>
  <dcterms:modified xsi:type="dcterms:W3CDTF">2015-03-12T11:20:00Z</dcterms:modified>
</cp:coreProperties>
</file>