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0" w:after="120"/>
        <w:jc w:val="center"/>
        <w:rPr/>
      </w:pPr>
      <w:r>
        <w:rPr>
          <w:rFonts w:eastAsia="Calibri" w:cs="Calibri"/>
          <w:b/>
          <w:bCs/>
          <w:color w:val="B8A27A"/>
          <w:spacing w:val="30"/>
          <w:sz w:val="20"/>
          <w:szCs w:val="20"/>
        </w:rPr>
        <w:t>PLANO DE NEGÓCIOS</w:t>
      </w:r>
    </w:p>
    <w:p>
      <w:pPr>
        <w:pStyle w:val="Normal"/>
        <w:spacing w:before="0" w:after="200"/>
        <w:jc w:val="center"/>
        <w:rPr/>
      </w:pPr>
      <w:r>
        <w:rPr>
          <w:rFonts w:eastAsia="Cambria" w:cs="Cambria" w:ascii="Cambria" w:hAnsi="Cambria"/>
          <w:b/>
          <w:bCs/>
          <w:color w:val="365462"/>
          <w:sz w:val="96"/>
          <w:szCs w:val="96"/>
        </w:rPr>
        <w:t>MNEMOS</w:t>
      </w:r>
    </w:p>
    <w:p>
      <w:pPr>
        <w:pStyle w:val="Normal"/>
        <w:spacing w:before="0" w:after="900"/>
        <w:jc w:val="center"/>
        <w:rPr/>
      </w:pPr>
      <w:r>
        <w:rPr>
          <w:rFonts w:eastAsia="Cambria" w:cs="Cambria" w:ascii="Cambria" w:hAnsi="Cambria"/>
          <w:i/>
          <w:iCs/>
          <w:color w:val="B56E52"/>
          <w:sz w:val="30"/>
          <w:szCs w:val="30"/>
        </w:rPr>
        <w:t>Menos distração. Mais memória.</w:t>
      </w:r>
    </w:p>
    <w:p>
      <w:pPr>
        <w:pStyle w:val="Normal"/>
        <w:spacing w:before="0" w:after="80"/>
        <w:jc w:val="center"/>
        <w:rPr/>
      </w:pPr>
      <w:r>
        <w:rPr>
          <w:rFonts w:eastAsia="Calibri" w:cs="Calibri"/>
          <w:color w:val="1F1F1F"/>
          <w:sz w:val="22"/>
          <w:szCs w:val="22"/>
        </w:rPr>
        <w:t>Terminal físico dedicado à recuperação ativa e à repetição espaçada</w:t>
      </w:r>
    </w:p>
    <w:p>
      <w:pPr>
        <w:pStyle w:val="Normal"/>
        <w:spacing w:before="1600" w:after="0"/>
        <w:jc w:val="center"/>
        <w:rPr/>
      </w:pPr>
      <w:r>
        <w:rPr>
          <w:rFonts w:eastAsia="Calibri" w:cs="Calibri"/>
          <w:color w:val="1F1F1F"/>
          <w:sz w:val="20"/>
          <w:szCs w:val="20"/>
        </w:rPr>
        <w:t>Agosto de 2026</w:t>
      </w:r>
      <w:r>
        <w:br w:type="page"/>
      </w:r>
    </w:p>
    <w:p>
      <w:pPr>
        <w:pStyle w:val="Normal"/>
        <w:rPr/>
      </w:pPr>
      <w:r>
        <w:rPr/>
        <w:br/>
      </w:r>
    </w:p>
    <w:p>
      <w:pPr>
        <w:pStyle w:val="Heading1"/>
        <w:keepNext w:val="true"/>
        <w:rPr/>
      </w:pPr>
      <w:r>
        <w:rPr/>
        <w:t>1. Sumário Executivo</w:t>
      </w:r>
    </w:p>
    <w:p>
      <w:pPr>
        <w:pStyle w:val="Normal"/>
        <w:spacing w:lineRule="exact" w:line="320" w:before="0" w:after="240"/>
        <w:jc w:val="both"/>
        <w:rPr/>
      </w:pPr>
      <w:r>
        <w:rPr>
          <w:rFonts w:eastAsia="Calibri" w:cs="Calibri"/>
          <w:color w:val="1F1F1F"/>
          <w:sz w:val="24"/>
          <w:szCs w:val="24"/>
        </w:rPr>
        <w:t>O Mnemos é uma plataforma físico-digital de aprendizagem adaptativa construída em torno de um terminal dedicado: tela e-paper, interface deliberadamente restrita, teclado CardKB e leitor NFC, complementado por um aplicativo móvel. O produto não substitui o smartphone ou o computador; ele retira deles uma tarefa específica, a revisão sistemática de conhecimento, devolvendo-a a um objeto que só sabe fazer uma coisa.</w:t>
      </w:r>
    </w:p>
    <w:p>
      <w:pPr>
        <w:pStyle w:val="Normal"/>
        <w:spacing w:lineRule="exact" w:line="300" w:before="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O produto responde a uma contradição concreta da vida do estudante contemporâneo. Os dispositivos mais poderosos para acessar conhecimento são também os que concentram as maiores fontes de distração. O Mnemos aposta que existe um grupo relevante de estudantes, entre eles universitários de cursos longos, concurseiros, comunidades de estudo digitais e adeptos do minimalismo digital, dispostos a investir em um objeto dedicado que remove essa tensão.</w:t>
      </w:r>
    </w:p>
    <w:p>
      <w:pPr>
        <w:pStyle w:val="Normal"/>
        <w:spacing w:lineRule="exact" w:line="300" w:before="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O modelo de negócio é B2C, com venda direta do terminal como principal fonte de receita e uma assinatura opcional para serviços de nuvem e inteligência artificial como receita recorrente futura. Trajetórias B2B, com instituições, cursinhos e professores, e um marketplace de conteúdo, estão planejadas como extensões para depois da validação inicial do produto.</w:t>
      </w:r>
    </w:p>
    <w:p>
      <w:pPr>
        <w:pStyle w:val="Normal"/>
        <w:spacing w:lineRule="exact" w:line="300" w:before="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Este documento organiza o modelo de negócio em um Business Model Canvas, detalha cada um dos nove blocos e acrescenta uma leitura de mercado, análise competitiva, viabilidade financeira e um roteiro de execução.</w:t>
      </w:r>
    </w:p>
    <w:tbl>
      <w:tblPr>
        <w:tblW w:w="9746" w:type="dxa"/>
        <w:jc w:val="left"/>
        <w:tblInd w:w="0" w:type="dxa"/>
        <w:tblLayout w:type="fixed"/>
        <w:tblCellMar>
          <w:top w:w="60" w:type="dxa"/>
          <w:left w:w="60" w:type="dxa"/>
          <w:bottom w:w="200" w:type="dxa"/>
          <w:right w:w="200" w:type="dxa"/>
        </w:tblCellMar>
      </w:tblPr>
      <w:tblGrid>
        <w:gridCol w:w="2436"/>
        <w:gridCol w:w="2437"/>
        <w:gridCol w:w="2436"/>
        <w:gridCol w:w="2436"/>
      </w:tblGrid>
      <w:tr>
        <w:trPr/>
        <w:tc>
          <w:tcPr>
            <w:tcW w:w="2436" w:type="dxa"/>
            <w:tcBorders/>
            <w:shd w:fill="FFFFFF" w:val="clear"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Cambria" w:cs="Cambria" w:ascii="Cambria" w:hAnsi="Cambria"/>
                <w:b/>
                <w:bCs/>
                <w:color w:val="365462"/>
                <w:sz w:val="34"/>
                <w:szCs w:val="34"/>
              </w:rPr>
              <w:t>R$ 999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1F1F"/>
                <w:sz w:val="16"/>
                <w:szCs w:val="16"/>
              </w:rPr>
              <w:t>Preço do terminal (hipótese de trabalho)</w:t>
            </w:r>
          </w:p>
        </w:tc>
        <w:tc>
          <w:tcPr>
            <w:tcW w:w="2437" w:type="dxa"/>
            <w:tcBorders/>
            <w:shd w:fill="FFFFFF" w:val="clear"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Cambria" w:cs="Cambria" w:ascii="Cambria" w:hAnsi="Cambria"/>
                <w:b/>
                <w:bCs/>
                <w:color w:val="365462"/>
                <w:sz w:val="34"/>
                <w:szCs w:val="34"/>
              </w:rPr>
              <w:t>43,5%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1F1F"/>
                <w:sz w:val="16"/>
                <w:szCs w:val="16"/>
              </w:rPr>
              <w:t>Margem bruta estimada</w:t>
            </w:r>
          </w:p>
        </w:tc>
        <w:tc>
          <w:tcPr>
            <w:tcW w:w="2436" w:type="dxa"/>
            <w:tcBorders/>
            <w:shd w:fill="FFFFFF" w:val="clear"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Cambria" w:cs="Cambria" w:ascii="Cambria" w:hAnsi="Cambria"/>
                <w:b/>
                <w:bCs/>
                <w:color w:val="365462"/>
                <w:sz w:val="34"/>
                <w:szCs w:val="34"/>
              </w:rPr>
              <w:t>9M+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1F1F"/>
                <w:sz w:val="16"/>
                <w:szCs w:val="16"/>
              </w:rPr>
              <w:t>Candidatos a concursos públicos por ano no Brasil</w:t>
            </w:r>
          </w:p>
        </w:tc>
        <w:tc>
          <w:tcPr>
            <w:tcW w:w="2436" w:type="dxa"/>
            <w:tcBorders/>
            <w:shd w:fill="FFFFFF" w:val="clear"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Cambria" w:cs="Cambria" w:ascii="Cambria" w:hAnsi="Cambria"/>
                <w:b/>
                <w:bCs/>
                <w:color w:val="365462"/>
                <w:sz w:val="34"/>
                <w:szCs w:val="34"/>
              </w:rPr>
              <w:t>4,81M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1F1F"/>
                <w:sz w:val="16"/>
                <w:szCs w:val="16"/>
              </w:rPr>
              <w:t>Inscritos confirmados no Enem 2025</w:t>
            </w:r>
          </w:p>
        </w:tc>
      </w:tr>
    </w:tbl>
    <w:p>
      <w:pPr>
        <w:pStyle w:val="Normal"/>
        <w:pBdr>
          <w:bottom w:val="single" w:sz="6" w:space="0" w:color="D9D5CC"/>
        </w:pBdr>
        <w:spacing w:before="100" w:after="300"/>
        <w:rPr/>
      </w:pPr>
      <w:r>
        <w:rPr/>
      </w:r>
    </w:p>
    <w:p>
      <w:pPr>
        <w:pStyle w:val="Heading1"/>
        <w:keepNext w:val="true"/>
        <w:rPr/>
      </w:pPr>
      <w:r>
        <w:rPr/>
        <w:t>2. O Problema e a Oportunidade</w:t>
      </w:r>
    </w:p>
    <w:p>
      <w:pPr>
        <w:pStyle w:val="Normal"/>
        <w:spacing w:lineRule="exact" w:line="300" w:before="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O estudante de hoje carrega no bolso o instrumento de acesso ao conhecimento mais poderoso já criado e, no mesmo objeto, o ambiente de hiperestimulação mais eficiente já criado. Mensagens, redes sociais, vídeos curtos e notificações competem, na mesma tela, com qualquer tentativa de recuperação ativa de memória.</w:t>
      </w:r>
    </w:p>
    <w:p>
      <w:pPr>
        <w:pStyle w:val="Normal"/>
        <w:spacing w:lineRule="exact" w:line="300" w:before="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Isso é particularmente custoso para o mecanismo que mais importa para a aprendizagem de longo prazo: a recuperação ativa (active recall) combinada com repetição espaçada. Ambas exigem atenção sustentada e sessões curtas, frequentes e sem fricção, exatamente o tipo de sessão que um smartphone, por desenho, torna difícil de proteger.</w:t>
      </w:r>
    </w:p>
    <w:p>
      <w:pPr>
        <w:pStyle w:val="Normal"/>
        <w:spacing w:lineRule="exact" w:line="300" w:before="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A oportunidade do Mnemos não é tecnológica. Construir um terminal com e-paper, teclado e NFC é um problema de engenharia bem compreendido. A oportunidade é comportamental: existe um segmento de estudantes para quem essa fricção já é suficientemente incômoda para justificar a compra de um objeto dedicado, do mesmo modo que cadernos, e-readers e fichários já são objetos aceitos no ritual de estudo.</w:t>
      </w:r>
    </w:p>
    <w:p>
      <w:pPr>
        <w:pStyle w:val="Normal"/>
        <w:pBdr>
          <w:bottom w:val="single" w:sz="6" w:space="0" w:color="D9D5CC"/>
        </w:pBdr>
        <w:spacing w:before="100" w:after="300"/>
        <w:jc w:val="both"/>
        <w:rPr/>
      </w:pPr>
      <w:r>
        <w:rPr/>
      </w:r>
    </w:p>
    <w:p>
      <w:pPr>
        <w:pStyle w:val="Heading1"/>
        <w:keepNext w:val="true"/>
        <w:jc w:val="both"/>
        <w:rPr/>
      </w:pPr>
      <w:r>
        <w:rPr/>
        <w:t>3. Visão Geral da Solução</w:t>
      </w:r>
    </w:p>
    <w:p>
      <w:pPr>
        <w:pStyle w:val="Normal"/>
        <w:spacing w:lineRule="exact" w:line="300" w:before="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O sistema Mnemos é composto por duas camadas que trabalham juntas, mas cumprem papeis distintos.</w:t>
      </w:r>
    </w:p>
    <w:p>
      <w:pPr>
        <w:pStyle w:val="ListParagraph"/>
        <w:numPr>
          <w:ilvl w:val="0"/>
          <w:numId w:val="3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Terminal dedicado: </w:t>
      </w:r>
      <w:r>
        <w:rPr>
          <w:rFonts w:eastAsia="Calibri" w:cs="Calibri"/>
          <w:color w:val="1F1F1F"/>
          <w:sz w:val="22"/>
          <w:szCs w:val="22"/>
        </w:rPr>
        <w:t>tela e-paper, CardKB para respostas abertas e leitor NFC para carregar contexto e disciplinas. Ligar o dispositivo significa, sem ambiguidade, iniciar uma sessão de estudo.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Aplicativo móvel: </w:t>
      </w:r>
      <w:r>
        <w:rPr>
          <w:rFonts w:eastAsia="Calibri" w:cs="Calibri"/>
          <w:color w:val="1F1F1F"/>
          <w:sz w:val="22"/>
          <w:szCs w:val="22"/>
        </w:rPr>
        <w:t>configuração inicial do dispositivo, criação rápida de cartões, notificações funcionais, sincronização e acompanhamento de desempenho.</w:t>
      </w:r>
    </w:p>
    <w:p>
      <w:pPr>
        <w:pStyle w:val="Normal"/>
        <w:spacing w:lineRule="exact" w:line="300" w:before="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A referência conceitual do produto está mais próxima de cadernos, livros, e-readers e fichários do que de eletrônicos convencionais, embora incorpore sincronização, algoritmos adaptativos e, progressivamente, inteligência artificial. A comunicação da marca reforça essa identidade: serenidade e domínio, não produtividade compulsiva.</w:t>
      </w:r>
    </w:p>
    <w:p>
      <w:pPr>
        <w:pStyle w:val="Normal"/>
        <w:pBdr>
          <w:bottom w:val="single" w:sz="6" w:space="0" w:color="D9D5CC"/>
        </w:pBdr>
        <w:spacing w:before="100" w:after="300"/>
        <w:rPr/>
      </w:pPr>
      <w:r>
        <w:rPr/>
      </w:r>
    </w:p>
    <w:p>
      <w:pPr>
        <w:pStyle w:val="Heading1"/>
        <w:keepNext w:val="true"/>
        <w:rPr/>
      </w:pPr>
      <w:r>
        <w:rPr/>
        <w:t>4. Business Model Canvas</w:t>
      </w:r>
    </w:p>
    <w:p>
      <w:pPr>
        <w:pStyle w:val="Normal"/>
        <w:spacing w:lineRule="exact" w:line="300" w:before="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Os nove blocos do modelo de negócio do Mnemos, apresentados em conjunto e detalhados na seção seguinte.</w:t>
      </w:r>
    </w:p>
    <w:p>
      <w:pPr>
        <w:pStyle w:val="Normal"/>
        <w:spacing w:before="120" w:after="300"/>
        <w:jc w:val="center"/>
        <w:rPr/>
      </w:pPr>
      <w:r>
        <w:rPr/>
        <w:drawing>
          <wp:inline distT="0" distB="0" distL="0" distR="0">
            <wp:extent cx="5905500" cy="3343275"/>
            <wp:effectExtent l="0" t="0" r="0" b="0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 w:val="true"/>
        <w:rPr/>
      </w:pPr>
      <w:r>
        <w:rPr/>
        <w:t>5. Detalhamento do Modelo de Negócio</w:t>
      </w:r>
    </w:p>
    <w:p>
      <w:pPr>
        <w:pStyle w:val="Heading2"/>
        <w:keepNext w:val="true"/>
        <w:rPr/>
      </w:pPr>
      <w:r>
        <w:rPr/>
        <w:t>5.1 Segmentos de Clientes</w:t>
      </w:r>
    </w:p>
    <w:p>
      <w:pPr>
        <w:pStyle w:val="Normal"/>
        <w:spacing w:lineRule="exact" w:line="300" w:before="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O segmento prioritário é formado por estudantes que já atribuem alto valor à organização, constância e qualidade de suas sessões de estudo.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Universitários: </w:t>
      </w:r>
      <w:r>
        <w:rPr>
          <w:rFonts w:eastAsia="Calibri" w:cs="Calibri"/>
          <w:color w:val="1F1F1F"/>
          <w:sz w:val="22"/>
          <w:szCs w:val="22"/>
        </w:rPr>
        <w:t>cursos que exigem retenção de grande volume de conceitos por longos períodos, como medicina, direito, engenharia, ciência da computação e idiomas.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Concurseiros: </w:t>
      </w:r>
      <w:r>
        <w:rPr>
          <w:rFonts w:eastAsia="Calibri" w:cs="Calibri"/>
          <w:color w:val="1F1F1F"/>
          <w:sz w:val="22"/>
          <w:szCs w:val="22"/>
        </w:rPr>
        <w:t>ciclos de preparação longos, recorrência de revisão e desempenho diretamente ligado a manutenção de memória de longo prazo.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Comunidades digitais de estudo: </w:t>
      </w:r>
      <w:r>
        <w:rPr>
          <w:rFonts w:eastAsia="Calibri" w:cs="Calibri"/>
          <w:color w:val="1F1F1F"/>
          <w:sz w:val="22"/>
          <w:szCs w:val="22"/>
        </w:rPr>
        <w:t>StudyTok, Studygram, StudyTube e produtividade acadêmica, públicos que valorizam estética e ritual, além da função.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Minimalismo digital: </w:t>
      </w:r>
      <w:r>
        <w:rPr>
          <w:rFonts w:eastAsia="Calibri" w:cs="Calibri"/>
          <w:color w:val="1F1F1F"/>
          <w:sz w:val="22"/>
          <w:szCs w:val="22"/>
        </w:rPr>
        <w:t>pessoas interessadas em redução de estímulo, detox de redes sociais e recuperação de práticas analógicas.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Futuro, B2B: </w:t>
      </w:r>
      <w:r>
        <w:rPr>
          <w:rFonts w:eastAsia="Calibri" w:cs="Calibri"/>
          <w:color w:val="1F1F1F"/>
          <w:sz w:val="22"/>
          <w:szCs w:val="22"/>
        </w:rPr>
        <w:t>instituições, cursinhos e produtores de conteúdo educacional, com painéis institucionais e decks licenciados.</w:t>
      </w:r>
    </w:p>
    <w:p>
      <w:pPr>
        <w:pStyle w:val="Heading2"/>
        <w:keepNext w:val="true"/>
        <w:rPr/>
      </w:pPr>
      <w:r>
        <w:rPr/>
        <w:t>5.2 Proposta de Valor</w:t>
      </w:r>
    </w:p>
    <w:p>
      <w:pPr>
        <w:pStyle w:val="Normal"/>
        <w:spacing w:lineRule="exact" w:line="300" w:before="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O diferencial do Mnemos não é executar flashcards, o que aplicativos consolidados já fazem bem. O valor nasce da combinação entre materialidade, foco, repetição espaçada, active recall, metacognição e personalização.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Materialidade e ritual: </w:t>
      </w:r>
      <w:r>
        <w:rPr>
          <w:rFonts w:eastAsia="Calibri" w:cs="Calibri"/>
          <w:color w:val="1F1F1F"/>
          <w:sz w:val="22"/>
          <w:szCs w:val="22"/>
        </w:rPr>
        <w:t>ligar o Mnemos é um gesto inequívoco de começar uma sessão de estudo.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Tela e-paper como limite: </w:t>
      </w:r>
      <w:r>
        <w:rPr>
          <w:rFonts w:eastAsia="Calibri" w:cs="Calibri"/>
          <w:color w:val="1F1F1F"/>
          <w:sz w:val="22"/>
          <w:szCs w:val="22"/>
        </w:rPr>
        <w:t>a limitação técnica da tecnologia é incorporada como parte deliberada do design, sem animações fluidas ou feeds.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Active recall com o CardKB: </w:t>
      </w:r>
      <w:r>
        <w:rPr>
          <w:rFonts w:eastAsia="Calibri" w:cs="Calibri"/>
          <w:color w:val="1F1F1F"/>
          <w:sz w:val="22"/>
          <w:szCs w:val="22"/>
        </w:rPr>
        <w:t>respostas abertas digitadas medem se o conteúdo foi de fato recuperado, não apenas consultado.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Registro de confiança: </w:t>
      </w:r>
      <w:r>
        <w:rPr>
          <w:rFonts w:eastAsia="Calibri" w:cs="Calibri"/>
          <w:color w:val="1F1F1F"/>
          <w:sz w:val="22"/>
          <w:szCs w:val="22"/>
        </w:rPr>
        <w:t>antes de revelar a resposta, o usuário declara o quanto acredita dominar o conteúdo. Cruzar confiança com acerto revela lacunas conhecidas e falsas certezas.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Inteligência artificial gradual: </w:t>
      </w:r>
      <w:r>
        <w:rPr>
          <w:rFonts w:eastAsia="Calibri" w:cs="Calibri"/>
          <w:color w:val="1F1F1F"/>
          <w:sz w:val="22"/>
          <w:szCs w:val="22"/>
        </w:rPr>
        <w:t>repetição espaçada determinística no início, evoluindo para previsão de retenção e avaliação semântica de respostas.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Posicionamento emocional: </w:t>
      </w:r>
      <w:r>
        <w:rPr>
          <w:rFonts w:eastAsia="Calibri" w:cs="Calibri"/>
          <w:color w:val="1F1F1F"/>
          <w:sz w:val="22"/>
          <w:szCs w:val="22"/>
        </w:rPr>
        <w:t>serenidade e domínio, não produtividade infinita.</w:t>
      </w:r>
    </w:p>
    <w:p>
      <w:pPr>
        <w:pStyle w:val="Normal"/>
        <w:spacing w:before="0" w:after="240"/>
        <w:jc w:val="both"/>
        <w:rPr/>
      </w:pPr>
      <w:r>
        <w:rPr>
          <w:rFonts w:eastAsia="Calibri" w:cs="Calibri"/>
          <w:i/>
          <w:iCs/>
          <w:color w:val="1F1F1F"/>
          <w:sz w:val="18"/>
          <w:szCs w:val="18"/>
        </w:rPr>
        <w:t>Em uma frase: o Mnemos não organiza apenas quando revisar um conteúdo. Ele procura entender como o estudante está se relacionando cognitivamente com esse conteúdo.</w:t>
      </w:r>
    </w:p>
    <w:p>
      <w:pPr>
        <w:pStyle w:val="Heading2"/>
        <w:keepNext w:val="true"/>
        <w:jc w:val="both"/>
        <w:rPr/>
      </w:pPr>
      <w:r>
        <w:rPr/>
        <w:t>5.3 Canais</w:t>
      </w:r>
    </w:p>
    <w:p>
      <w:pPr>
        <w:pStyle w:val="Normal"/>
        <w:spacing w:lineRule="exact" w:line="300" w:before="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O canal inicial é predominantemente digital e direto ao consumidor. O produto tem uma vantagem rara para esse formato: é visualmente demonstrável, gerando conteúdo compartilhável por si só.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Landing page: </w:t>
      </w:r>
      <w:r>
        <w:rPr>
          <w:rFonts w:eastAsia="Calibri" w:cs="Calibri"/>
          <w:color w:val="1F1F1F"/>
          <w:sz w:val="22"/>
          <w:szCs w:val="22"/>
        </w:rPr>
        <w:t>instrumento de validação com conceito, protótipo, lista de espera e, depois, pré-venda.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Redes de nicho: </w:t>
      </w:r>
      <w:r>
        <w:rPr>
          <w:rFonts w:eastAsia="Calibri" w:cs="Calibri"/>
          <w:color w:val="1F1F1F"/>
          <w:sz w:val="22"/>
          <w:szCs w:val="22"/>
        </w:rPr>
        <w:t>Instagram, TikTok, YouTube e comunidades de estudo, onde o produto é naturalmente demonstrável em uso.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Criadores de conteúdo: </w:t>
      </w:r>
      <w:r>
        <w:rPr>
          <w:rFonts w:eastAsia="Calibri" w:cs="Calibri"/>
          <w:color w:val="1F1F1F"/>
          <w:sz w:val="22"/>
          <w:szCs w:val="22"/>
        </w:rPr>
        <w:t>parceiros menores e altamente relacionados ao nicho, via distribuição de protótipos e unidades piloto.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Aplicativo móvel: </w:t>
      </w:r>
      <w:r>
        <w:rPr>
          <w:rFonts w:eastAsia="Calibri" w:cs="Calibri"/>
          <w:color w:val="1F1F1F"/>
          <w:sz w:val="22"/>
          <w:szCs w:val="22"/>
        </w:rPr>
        <w:t>canal de configuração inicial e relacionamento contínuo com o usuário.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Futuro: </w:t>
      </w:r>
      <w:r>
        <w:rPr>
          <w:rFonts w:eastAsia="Calibri" w:cs="Calibri"/>
          <w:color w:val="1F1F1F"/>
          <w:sz w:val="22"/>
          <w:szCs w:val="22"/>
        </w:rPr>
        <w:t>comunidades universitárias, centros acadêmicos e cursinhos como canais de aquisição coletiva.</w:t>
      </w:r>
    </w:p>
    <w:p>
      <w:pPr>
        <w:pStyle w:val="Heading2"/>
        <w:keepNext w:val="true"/>
        <w:rPr/>
      </w:pPr>
      <w:r>
        <w:rPr/>
        <w:t>5.4 Relacionamento com Clientes</w:t>
      </w:r>
    </w:p>
    <w:p>
      <w:pPr>
        <w:pStyle w:val="Normal"/>
        <w:spacing w:lineRule="exact" w:line="300" w:before="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A relação não termina na venda do hardware. No período inicial, tem forte caráter comunitário: os primeiros usuários são simultaneamente clientes e participantes do processo de validação, com mecanismos transparentes de feedback sobre interface, ergonomia, algoritmos e sincronização.</w:t>
      </w:r>
    </w:p>
    <w:p>
      <w:pPr>
        <w:pStyle w:val="Normal"/>
        <w:spacing w:lineRule="exact" w:line="300" w:before="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A comunicação evita técnicas contraditórias com a própria proposta. Seria incoerente vender um terminal de baixa distração usando notificações agressivas ou gamificação compulsiva. O relacionamento se apoia em lembretes funcionais, relatórios de progresso e conteúdo editorial sobre aprendizagem. Como se trata de hardware, o suporte técnico, envolvendo bateria, sincronização, firmware e teclado, tem peso maior do que em um aplicativo puramente digital.</w:t>
      </w:r>
    </w:p>
    <w:p>
      <w:pPr>
        <w:pStyle w:val="Heading2"/>
        <w:keepNext w:val="true"/>
        <w:jc w:val="both"/>
        <w:rPr/>
      </w:pPr>
      <w:r>
        <w:rPr/>
        <w:t>5.5 Fontes de Receita</w:t>
      </w:r>
    </w:p>
    <w:p>
      <w:pPr>
        <w:pStyle w:val="Normal"/>
        <w:spacing w:lineRule="exact" w:line="300" w:before="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A receita principal é a venda do dispositivo físico, o que mantém a proposta comercial inteligível: o usuário compra um objeto com funcionalidade autônoma, útil mesmo sem assinatura.</w:t>
      </w:r>
    </w:p>
    <w:tbl>
      <w:tblPr>
        <w:tblW w:w="9746" w:type="dxa"/>
        <w:jc w:val="left"/>
        <w:tblInd w:w="0" w:type="dxa"/>
        <w:tblLayout w:type="fixed"/>
        <w:tblCellMar>
          <w:top w:w="110" w:type="dxa"/>
          <w:left w:w="130" w:type="dxa"/>
          <w:bottom w:w="110" w:type="dxa"/>
          <w:right w:w="130" w:type="dxa"/>
        </w:tblCellMar>
      </w:tblPr>
      <w:tblGrid>
        <w:gridCol w:w="6499"/>
        <w:gridCol w:w="3246"/>
      </w:tblGrid>
      <w:tr>
        <w:trPr/>
        <w:tc>
          <w:tcPr>
            <w:tcW w:w="64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365462" w:val="clear"/>
            <w:vAlign w:val="center"/>
          </w:tcPr>
          <w:p>
            <w:pPr>
              <w:pStyle w:val="Normal"/>
              <w:spacing w:lineRule="exact" w:line="260" w:before="0" w:after="0"/>
              <w:jc w:val="both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Fonte de receita</w:t>
            </w:r>
          </w:p>
        </w:tc>
        <w:tc>
          <w:tcPr>
            <w:tcW w:w="3246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365462" w:val="clear"/>
            <w:vAlign w:val="center"/>
          </w:tcPr>
          <w:p>
            <w:pPr>
              <w:pStyle w:val="Normal"/>
              <w:spacing w:lineRule="exact" w:line="260" w:before="0" w:after="0"/>
              <w:jc w:val="both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Valor de referência</w:t>
            </w:r>
          </w:p>
        </w:tc>
      </w:tr>
      <w:tr>
        <w:trPr/>
        <w:tc>
          <w:tcPr>
            <w:tcW w:w="64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jc w:val="both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65462"/>
                <w:sz w:val="20"/>
                <w:szCs w:val="20"/>
              </w:rPr>
              <w:t>Venda do terminal (fonte principal)</w:t>
            </w:r>
          </w:p>
        </w:tc>
        <w:tc>
          <w:tcPr>
            <w:tcW w:w="3246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jc w:val="both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65462"/>
                <w:sz w:val="20"/>
                <w:szCs w:val="20"/>
              </w:rPr>
              <w:t>R$ 999</w:t>
            </w:r>
          </w:p>
        </w:tc>
      </w:tr>
      <w:tr>
        <w:trPr/>
        <w:tc>
          <w:tcPr>
            <w:tcW w:w="64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jc w:val="both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>Assinatura opcional (nuvem, backup, IA avançada)</w:t>
            </w:r>
          </w:p>
        </w:tc>
        <w:tc>
          <w:tcPr>
            <w:tcW w:w="3246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jc w:val="both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>R$ 14,90 a R$ 24,90/mês</w:t>
            </w:r>
          </w:p>
        </w:tc>
      </w:tr>
      <w:tr>
        <w:trPr/>
        <w:tc>
          <w:tcPr>
            <w:tcW w:w="64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jc w:val="both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>Futuro: marketplace de conteúdo e licenças B2B</w:t>
            </w:r>
          </w:p>
        </w:tc>
        <w:tc>
          <w:tcPr>
            <w:tcW w:w="3246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jc w:val="both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>Fora do escopo inicial</w:t>
            </w:r>
          </w:p>
        </w:tc>
      </w:tr>
    </w:tbl>
    <w:p>
      <w:pPr>
        <w:pStyle w:val="Normal"/>
        <w:spacing w:before="24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A assinatura financia serviços com custo contínuo, como armazenamento em nuvem, backup, análise longitudinal e recursos avançados de inteligência artificial, mas nunca é obrigatória para o uso local básico do produto.</w:t>
      </w:r>
    </w:p>
    <w:p>
      <w:pPr>
        <w:pStyle w:val="Heading2"/>
        <w:keepNext w:val="true"/>
        <w:jc w:val="both"/>
        <w:rPr/>
      </w:pPr>
      <w:r>
        <w:rPr/>
        <w:t>5.6 Recursos Principais</w:t>
      </w:r>
    </w:p>
    <w:p>
      <w:pPr>
        <w:pStyle w:val="Normal"/>
        <w:spacing w:lineRule="exact" w:line="300" w:before="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O recurso físico central é o terminal Mnemos, construído sobre a plataforma LILYGO T5 4.7 com ESP32-S3 e display e-paper, com versoes experimentais com e sem touchscreen para comparar paradigmas de interação. O CardKB expande o dispositivo de leitor de flashcards a terminal de active recall; o NFC acrescenta seleção física de disciplinas e modos de estudo.</w:t>
      </w:r>
    </w:p>
    <w:p>
      <w:pPr>
        <w:pStyle w:val="Normal"/>
        <w:spacing w:lineRule="exact" w:line="300" w:before="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No plano digital, o firmware (interface, persistência local, agendamento, energia, sincronização) e o backend (estado dos cartões, eventos de revisão, sincronização entre dispositivos) são recursos centrais. Em longo prazo, o ativo mais valioso é o conjunto de dados comportamentais, como tempo de resposta, intervalo desde a última revisão, confiança declarada e desempenho, tratado com responsabilidade e transparência sob a Lei Geral de Proteção de Dados (LGPD).</w:t>
      </w:r>
    </w:p>
    <w:p>
      <w:pPr>
        <w:pStyle w:val="Heading2"/>
        <w:keepNext w:val="true"/>
        <w:rPr/>
      </w:pPr>
      <w:r>
        <w:rPr/>
        <w:t>5.7 Atividades-Chave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Desenvolvimento e validação do MVP: </w:t>
      </w:r>
      <w:r>
        <w:rPr>
          <w:rFonts w:eastAsia="Calibri" w:cs="Calibri"/>
          <w:color w:val="1F1F1F"/>
          <w:sz w:val="22"/>
          <w:szCs w:val="22"/>
        </w:rPr>
        <w:t>firmware, integração de hardware, interface, mecanismo de revisão e aplicativo móvel.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Pesquisa com usuários: </w:t>
      </w:r>
      <w:r>
        <w:rPr>
          <w:rFonts w:eastAsia="Calibri" w:cs="Calibri"/>
          <w:color w:val="1F1F1F"/>
          <w:sz w:val="22"/>
          <w:szCs w:val="22"/>
        </w:rPr>
        <w:t>entrevistas, observação e testes de usabilidade para verificar se o dispositivo dedicado corresponde a uma necessidade percebida.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Coleta e análise de dados: </w:t>
      </w:r>
      <w:r>
        <w:rPr>
          <w:rFonts w:eastAsia="Calibri" w:cs="Calibri"/>
          <w:color w:val="1F1F1F"/>
          <w:sz w:val="22"/>
          <w:szCs w:val="22"/>
        </w:rPr>
        <w:t>interações registradas desde o início, com privacidade desenhada de origem.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Conteúdo e comunicação: </w:t>
      </w:r>
      <w:r>
        <w:rPr>
          <w:rFonts w:eastAsia="Calibri" w:cs="Calibri"/>
          <w:color w:val="1F1F1F"/>
          <w:sz w:val="22"/>
          <w:szCs w:val="22"/>
        </w:rPr>
        <w:t>narrativa editorial sobre memória, active recall e redução de distração, com função educativa e comercial ao mesmo tempo.</w:t>
      </w:r>
    </w:p>
    <w:p>
      <w:pPr>
        <w:pStyle w:val="Heading2"/>
        <w:keepNext w:val="true"/>
        <w:rPr/>
      </w:pPr>
      <w:r>
        <w:rPr/>
        <w:t>5.8 Parcerias Principais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LILYGO e fornecedores de componentes: </w:t>
      </w:r>
      <w:r>
        <w:rPr>
          <w:rFonts w:eastAsia="Calibri" w:cs="Calibri"/>
          <w:color w:val="1F1F1F"/>
          <w:sz w:val="22"/>
          <w:szCs w:val="22"/>
        </w:rPr>
        <w:t>teclados compactos, módulos NFC, baterias, PCB, impressão 3D e usinagem.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Fabricantes de PCB, montadoras e logística: </w:t>
      </w:r>
      <w:r>
        <w:rPr>
          <w:rFonts w:eastAsia="Calibri" w:cs="Calibri"/>
          <w:color w:val="1F1F1F"/>
          <w:sz w:val="22"/>
          <w:szCs w:val="22"/>
        </w:rPr>
        <w:t>para a eventual transição de módulos prontos para placa própria.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Universidades e comunidades acadêmicas: </w:t>
      </w:r>
      <w:r>
        <w:rPr>
          <w:rFonts w:eastAsia="Calibri" w:cs="Calibri"/>
          <w:color w:val="1F1F1F"/>
          <w:sz w:val="22"/>
          <w:szCs w:val="22"/>
        </w:rPr>
        <w:t>fonte de usuários para entrevistas e testes.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Criadores de conteúdo de estudo: </w:t>
      </w:r>
      <w:r>
        <w:rPr>
          <w:rFonts w:eastAsia="Calibri" w:cs="Calibri"/>
          <w:color w:val="1F1F1F"/>
          <w:sz w:val="22"/>
          <w:szCs w:val="22"/>
        </w:rPr>
        <w:t>validação comercial e comunicação via pilotos reais.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Futuro: </w:t>
      </w:r>
      <w:r>
        <w:rPr>
          <w:rFonts w:eastAsia="Calibri" w:cs="Calibri"/>
          <w:color w:val="1F1F1F"/>
          <w:sz w:val="22"/>
          <w:szCs w:val="22"/>
        </w:rPr>
        <w:t>professores, cursinhos e produtores educacionais como parceiros de conteúdo licenciado.</w:t>
      </w:r>
    </w:p>
    <w:p>
      <w:pPr>
        <w:pStyle w:val="Heading2"/>
        <w:keepNext w:val="true"/>
        <w:rPr/>
      </w:pPr>
      <w:r>
        <w:rPr/>
        <w:t>5.9 Estrutura de Custos</w:t>
      </w:r>
    </w:p>
    <w:p>
      <w:pPr>
        <w:pStyle w:val="Normal"/>
        <w:spacing w:lineRule="exact" w:line="300" w:before="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No protótipo atual, o custo por unidade é elevado por depender de módulos prontos comprados em pequena escala. A composição estimada para a versao completa, batizada Mnemos Recall:</w:t>
      </w:r>
    </w:p>
    <w:tbl>
      <w:tblPr>
        <w:tblW w:w="9746" w:type="dxa"/>
        <w:jc w:val="left"/>
        <w:tblInd w:w="0" w:type="dxa"/>
        <w:tblLayout w:type="fixed"/>
        <w:tblCellMar>
          <w:top w:w="110" w:type="dxa"/>
          <w:left w:w="130" w:type="dxa"/>
          <w:bottom w:w="110" w:type="dxa"/>
          <w:right w:w="130" w:type="dxa"/>
        </w:tblCellMar>
      </w:tblPr>
      <w:tblGrid>
        <w:gridCol w:w="6499"/>
        <w:gridCol w:w="3246"/>
      </w:tblGrid>
      <w:tr>
        <w:trPr/>
        <w:tc>
          <w:tcPr>
            <w:tcW w:w="64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365462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3246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365462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Custo estimado</w:t>
            </w:r>
          </w:p>
        </w:tc>
      </w:tr>
      <w:tr>
        <w:trPr/>
        <w:tc>
          <w:tcPr>
            <w:tcW w:w="64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>T5 touch (LILYGO + ESP32-S3)</w:t>
            </w:r>
          </w:p>
        </w:tc>
        <w:tc>
          <w:tcPr>
            <w:tcW w:w="3246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>R$ 255</w:t>
            </w:r>
          </w:p>
        </w:tc>
      </w:tr>
      <w:tr>
        <w:trPr/>
        <w:tc>
          <w:tcPr>
            <w:tcW w:w="64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>CardKB</w:t>
            </w:r>
          </w:p>
        </w:tc>
        <w:tc>
          <w:tcPr>
            <w:tcW w:w="3246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>R$ 45</w:t>
            </w:r>
          </w:p>
        </w:tc>
      </w:tr>
      <w:tr>
        <w:trPr/>
        <w:tc>
          <w:tcPr>
            <w:tcW w:w="64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>Módulo NFC</w:t>
            </w:r>
          </w:p>
        </w:tc>
        <w:tc>
          <w:tcPr>
            <w:tcW w:w="3246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>R$ 40 a R$ 50</w:t>
            </w:r>
          </w:p>
        </w:tc>
      </w:tr>
      <w:tr>
        <w:trPr/>
        <w:tc>
          <w:tcPr>
            <w:tcW w:w="64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>Bateria</w:t>
            </w:r>
          </w:p>
        </w:tc>
        <w:tc>
          <w:tcPr>
            <w:tcW w:w="3246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>R$ 40</w:t>
            </w:r>
          </w:p>
        </w:tc>
      </w:tr>
      <w:tr>
        <w:trPr/>
        <w:tc>
          <w:tcPr>
            <w:tcW w:w="64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>Interconexão, carcaça, montagem, embalagem e contingência</w:t>
            </w:r>
          </w:p>
        </w:tc>
        <w:tc>
          <w:tcPr>
            <w:tcW w:w="3246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>R$ 179 (aprox.)</w:t>
            </w:r>
          </w:p>
        </w:tc>
      </w:tr>
      <w:tr>
        <w:trPr/>
        <w:tc>
          <w:tcPr>
            <w:tcW w:w="64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4F1E8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65462"/>
                <w:sz w:val="20"/>
                <w:szCs w:val="20"/>
              </w:rPr>
              <w:t>Custo total estimado por unidade</w:t>
            </w:r>
          </w:p>
        </w:tc>
        <w:tc>
          <w:tcPr>
            <w:tcW w:w="3246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4F1E8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65462"/>
                <w:sz w:val="20"/>
                <w:szCs w:val="20"/>
              </w:rPr>
              <w:t>R$ 564</w:t>
            </w:r>
          </w:p>
        </w:tc>
      </w:tr>
    </w:tbl>
    <w:p>
      <w:pPr>
        <w:pStyle w:val="Normal"/>
        <w:spacing w:before="240" w:after="120"/>
        <w:jc w:val="both"/>
        <w:rPr/>
      </w:pPr>
      <w:r>
        <w:rPr>
          <w:rFonts w:eastAsia="Calibri" w:cs="Calibri"/>
          <w:color w:val="1F1F1F"/>
          <w:sz w:val="22"/>
          <w:szCs w:val="22"/>
        </w:rPr>
        <w:t>Esse custo posiciona o dispositivo, em escala muito pequena, na faixa de R$ 550 a R$ 600 por unidade. Uma PCB própria, integrando microcontrolador, gestão de energia e interfaces, reduziria esse número de forma relevante em escala, ao custo de ferramental, certificação e estoque inicial.</w:t>
      </w:r>
    </w:p>
    <w:p>
      <w:pPr>
        <w:pStyle w:val="Normal"/>
        <w:spacing w:before="12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 xml:space="preserve">Com o custo de R$ 564 e o preço de R$ 999, a margem bruta é de </w:t>
      </w:r>
      <w:r>
        <w:rPr>
          <w:rFonts w:eastAsia="Calibri" w:cs="Calibri"/>
          <w:b/>
          <w:bCs/>
          <w:color w:val="365462"/>
          <w:sz w:val="22"/>
          <w:szCs w:val="22"/>
        </w:rPr>
        <w:t>R$ 435 por unidade (43,5%)</w:t>
      </w:r>
      <w:r>
        <w:rPr>
          <w:rFonts w:eastAsia="Calibri" w:cs="Calibri"/>
          <w:color w:val="1F1F1F"/>
          <w:sz w:val="22"/>
          <w:szCs w:val="22"/>
        </w:rPr>
        <w:t>, antes de impostos, logística, garantia, marketing e desenvolvimento. Os custos digitais somam hospedagem, banco de dados, armazenamento, autenticação e uso de modelos de inteligência artificial externos.</w:t>
      </w:r>
    </w:p>
    <w:p>
      <w:pPr>
        <w:pStyle w:val="Normal"/>
        <w:pBdr>
          <w:bottom w:val="single" w:sz="6" w:space="0" w:color="D9D5CC"/>
        </w:pBdr>
        <w:spacing w:before="100" w:after="300"/>
        <w:rPr/>
      </w:pPr>
      <w:r>
        <w:rPr/>
      </w:r>
    </w:p>
    <w:p>
      <w:pPr>
        <w:pStyle w:val="Heading1"/>
        <w:keepNext w:val="true"/>
        <w:rPr/>
      </w:pPr>
      <w:r>
        <w:rPr/>
        <w:t>6. Análise Competitiva</w:t>
      </w:r>
    </w:p>
    <w:p>
      <w:pPr>
        <w:pStyle w:val="Normal"/>
        <w:spacing w:lineRule="exact" w:line="300" w:before="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O posicionamento do Mnemos frente a duas categorias de concorrentes indiretos: aplicativos de repetição espaçada e tablets e-ink premium.</w:t>
      </w:r>
    </w:p>
    <w:tbl>
      <w:tblPr>
        <w:tblW w:w="9746" w:type="dxa"/>
        <w:jc w:val="left"/>
        <w:tblInd w:w="0" w:type="dxa"/>
        <w:tblLayout w:type="fixed"/>
        <w:tblCellMar>
          <w:top w:w="110" w:type="dxa"/>
          <w:left w:w="130" w:type="dxa"/>
          <w:bottom w:w="110" w:type="dxa"/>
          <w:right w:w="130" w:type="dxa"/>
        </w:tblCellMar>
      </w:tblPr>
      <w:tblGrid>
        <w:gridCol w:w="1999"/>
        <w:gridCol w:w="1800"/>
        <w:gridCol w:w="1901"/>
        <w:gridCol w:w="2099"/>
        <w:gridCol w:w="1947"/>
      </w:tblGrid>
      <w:tr>
        <w:trPr/>
        <w:tc>
          <w:tcPr>
            <w:tcW w:w="19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365462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Produto</w:t>
            </w:r>
          </w:p>
        </w:tc>
        <w:tc>
          <w:tcPr>
            <w:tcW w:w="18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365462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1901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365462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Preço</w:t>
            </w:r>
          </w:p>
        </w:tc>
        <w:tc>
          <w:tcPr>
            <w:tcW w:w="20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365462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Força</w:t>
            </w:r>
          </w:p>
        </w:tc>
        <w:tc>
          <w:tcPr>
            <w:tcW w:w="1947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365462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Limite frente ao Mnemos</w:t>
            </w:r>
          </w:p>
        </w:tc>
      </w:tr>
      <w:tr>
        <w:trPr/>
        <w:tc>
          <w:tcPr>
            <w:tcW w:w="19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65462"/>
                <w:sz w:val="17"/>
                <w:szCs w:val="17"/>
              </w:rPr>
              <w:t>Anki</w:t>
            </w:r>
          </w:p>
        </w:tc>
        <w:tc>
          <w:tcPr>
            <w:tcW w:w="18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App gratuito, código aberto</w:t>
            </w:r>
          </w:p>
        </w:tc>
        <w:tc>
          <w:tcPr>
            <w:tcW w:w="1901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Gratuito (iOS US$ 24,99)</w:t>
            </w:r>
          </w:p>
        </w:tc>
        <w:tc>
          <w:tcPr>
            <w:tcW w:w="20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Algoritmo FSRS configurável, maior biblioteca de decks comunitários.</w:t>
            </w:r>
          </w:p>
        </w:tc>
        <w:tc>
          <w:tcPr>
            <w:tcW w:w="1947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Interface datada; roda no mesmo aparelho cheio de notificações.</w:t>
            </w:r>
          </w:p>
        </w:tc>
      </w:tr>
      <w:tr>
        <w:trPr/>
        <w:tc>
          <w:tcPr>
            <w:tcW w:w="19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65462"/>
                <w:sz w:val="17"/>
                <w:szCs w:val="17"/>
              </w:rPr>
              <w:t>RemNote</w:t>
            </w:r>
          </w:p>
        </w:tc>
        <w:tc>
          <w:tcPr>
            <w:tcW w:w="18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Notas e flashcards, freemium</w:t>
            </w:r>
          </w:p>
        </w:tc>
        <w:tc>
          <w:tcPr>
            <w:tcW w:w="1901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US$ 0 a 18/mês</w:t>
            </w:r>
          </w:p>
        </w:tc>
        <w:tc>
          <w:tcPr>
            <w:tcW w:w="20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Combina anotação e repetição espaçada, geração de cartões por IA.</w:t>
            </w:r>
          </w:p>
        </w:tc>
        <w:tc>
          <w:tcPr>
            <w:tcW w:w="1947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Curva de aprendizado intensa; contínua sendo mais uma aba no mesmo dispositivo.</w:t>
            </w:r>
          </w:p>
        </w:tc>
      </w:tr>
      <w:tr>
        <w:trPr/>
        <w:tc>
          <w:tcPr>
            <w:tcW w:w="19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65462"/>
                <w:sz w:val="17"/>
                <w:szCs w:val="17"/>
              </w:rPr>
              <w:t>Quizlet</w:t>
            </w:r>
          </w:p>
        </w:tc>
        <w:tc>
          <w:tcPr>
            <w:tcW w:w="18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Flashcards, freemium</w:t>
            </w:r>
          </w:p>
        </w:tc>
        <w:tc>
          <w:tcPr>
            <w:tcW w:w="1901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Gratuito a US$ 36/ano</w:t>
            </w:r>
          </w:p>
        </w:tc>
        <w:tc>
          <w:tcPr>
            <w:tcW w:w="20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Facilidade de uso, modos de jogo, biblioteca enorme de decks prontos.</w:t>
            </w:r>
          </w:p>
        </w:tc>
        <w:tc>
          <w:tcPr>
            <w:tcW w:w="1947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Prioriza reconhecimento e velocidade sobre recuperação ativa profunda.</w:t>
            </w:r>
          </w:p>
        </w:tc>
      </w:tr>
      <w:tr>
        <w:trPr/>
        <w:tc>
          <w:tcPr>
            <w:tcW w:w="19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65462"/>
                <w:sz w:val="17"/>
                <w:szCs w:val="17"/>
              </w:rPr>
              <w:t>reMarkable Paper Pure / Kindle Scribe</w:t>
            </w:r>
          </w:p>
        </w:tc>
        <w:tc>
          <w:tcPr>
            <w:tcW w:w="18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Tablet e-ink dedicado</w:t>
            </w:r>
          </w:p>
        </w:tc>
        <w:tc>
          <w:tcPr>
            <w:tcW w:w="1901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US$ 399 a 680 (aprox. R$ 2.000 a R$ 3.500)</w:t>
            </w:r>
          </w:p>
        </w:tc>
        <w:tc>
          <w:tcPr>
            <w:tcW w:w="20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Leitura e escrita sem distração, experiência de papel digital premiada.</w:t>
            </w:r>
          </w:p>
        </w:tc>
        <w:tc>
          <w:tcPr>
            <w:tcW w:w="1947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Feito para anotação geral, não para active recall; preço de 2 a 3,5 vezes o do Mnemos.</w:t>
            </w:r>
          </w:p>
        </w:tc>
      </w:tr>
    </w:tbl>
    <w:p>
      <w:pPr>
        <w:pStyle w:val="Normal"/>
        <w:spacing w:before="260" w:after="0"/>
        <w:jc w:val="both"/>
        <w:rPr/>
      </w:pPr>
      <w:r>
        <w:rPr>
          <w:rFonts w:eastAsia="Calibri" w:cs="Calibri"/>
          <w:color w:val="1F1F1F"/>
          <w:sz w:val="22"/>
          <w:szCs w:val="22"/>
        </w:rPr>
        <w:t>Nenhum concorrente direto combina hardware dedicado, active recall com resposta aberta e registro de confiança metacognitiva no mesmo pacote. O Mnemos ocupa o espaço entre o aplicativo de flashcard acessível, mas cheio de distração ambiente, e o tablet e-ink premium, caro e genérico para qualquer tipo de anotação. A própria categoria de hardware dedicado ao foco já validou disposição a pagar preços elevados internacionalmente, o que torna R$ 999 uma entrada relativamente acessível dentro dessa categoria.</w:t>
      </w:r>
    </w:p>
    <w:p>
      <w:pPr>
        <w:pStyle w:val="Normal"/>
        <w:pBdr>
          <w:bottom w:val="single" w:sz="6" w:space="0" w:color="D9D5CC"/>
        </w:pBdr>
        <w:spacing w:before="100" w:after="300"/>
        <w:rPr/>
      </w:pPr>
      <w:r>
        <w:rPr/>
      </w:r>
    </w:p>
    <w:p>
      <w:pPr>
        <w:pStyle w:val="Heading1"/>
        <w:keepNext w:val="true"/>
        <w:rPr/>
      </w:pPr>
      <w:r>
        <w:rPr/>
        <w:t>7. Precedentes de Mercado para o Preço</w:t>
      </w:r>
    </w:p>
    <w:p>
      <w:pPr>
        <w:pStyle w:val="Normal"/>
        <w:spacing w:lineRule="exact" w:line="300" w:before="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Hardware dedicado ao foco e à produtividade profunda não é um mercado novo. O histórico de preços praticados por produtos comparáveis, somado ao dinheiro que consumidores já comprometeram voluntariamente via financiamento coletivo, é evidência direta de que R$ 999 é um ponto de partida conservador para o Mnemos, não uma aposta agressiva.</w:t>
      </w:r>
    </w:p>
    <w:p>
      <w:pPr>
        <w:pStyle w:val="Heading2"/>
        <w:keepNext w:val="true"/>
        <w:rPr/>
      </w:pPr>
      <w:r>
        <w:rPr/>
        <w:t>Preço de hardware dedicado ao foco</w:t>
      </w:r>
    </w:p>
    <w:tbl>
      <w:tblPr>
        <w:tblW w:w="9746" w:type="dxa"/>
        <w:jc w:val="left"/>
        <w:tblInd w:w="0" w:type="dxa"/>
        <w:tblLayout w:type="fixed"/>
        <w:tblCellMar>
          <w:top w:w="110" w:type="dxa"/>
          <w:left w:w="130" w:type="dxa"/>
          <w:bottom w:w="110" w:type="dxa"/>
          <w:right w:w="130" w:type="dxa"/>
        </w:tblCellMar>
      </w:tblPr>
      <w:tblGrid>
        <w:gridCol w:w="2600"/>
        <w:gridCol w:w="3745"/>
        <w:gridCol w:w="1701"/>
        <w:gridCol w:w="1699"/>
      </w:tblGrid>
      <w:tr>
        <w:trPr/>
        <w:tc>
          <w:tcPr>
            <w:tcW w:w="26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365462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Produto</w:t>
            </w:r>
          </w:p>
        </w:tc>
        <w:tc>
          <w:tcPr>
            <w:tcW w:w="3745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365462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Proposta</w:t>
            </w:r>
          </w:p>
        </w:tc>
        <w:tc>
          <w:tcPr>
            <w:tcW w:w="1701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365462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Preço (US$)</w:t>
            </w:r>
          </w:p>
        </w:tc>
        <w:tc>
          <w:tcPr>
            <w:tcW w:w="16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365462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Preço aprox. (R$)</w:t>
            </w:r>
          </w:p>
        </w:tc>
      </w:tr>
      <w:tr>
        <w:trPr/>
        <w:tc>
          <w:tcPr>
            <w:tcW w:w="26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65462"/>
                <w:sz w:val="17"/>
                <w:szCs w:val="17"/>
              </w:rPr>
              <w:t>Freewrite Smart Typewriter (Astrohaus)</w:t>
            </w:r>
          </w:p>
        </w:tc>
        <w:tc>
          <w:tcPr>
            <w:tcW w:w="3745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Teclado mecânico e tela e-paper, feito só para escrever</w:t>
            </w:r>
          </w:p>
        </w:tc>
        <w:tc>
          <w:tcPr>
            <w:tcW w:w="1701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US$ 549</w:t>
            </w:r>
          </w:p>
        </w:tc>
        <w:tc>
          <w:tcPr>
            <w:tcW w:w="16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R$ 2.800 (aprox.)</w:t>
            </w:r>
          </w:p>
        </w:tc>
      </w:tr>
      <w:tr>
        <w:trPr/>
        <w:tc>
          <w:tcPr>
            <w:tcW w:w="26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65462"/>
                <w:sz w:val="17"/>
                <w:szCs w:val="17"/>
              </w:rPr>
              <w:t>Freewrite Traveler (Astrohaus)</w:t>
            </w:r>
          </w:p>
        </w:tc>
        <w:tc>
          <w:tcPr>
            <w:tcW w:w="3745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Versão portátil do mesmo conceito, sem navegador ou apps</w:t>
            </w:r>
          </w:p>
        </w:tc>
        <w:tc>
          <w:tcPr>
            <w:tcW w:w="1701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US$ 429 a 599</w:t>
            </w:r>
          </w:p>
        </w:tc>
        <w:tc>
          <w:tcPr>
            <w:tcW w:w="16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R$ 2.190 a 3.050</w:t>
            </w:r>
          </w:p>
        </w:tc>
      </w:tr>
      <w:tr>
        <w:trPr/>
        <w:tc>
          <w:tcPr>
            <w:tcW w:w="26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65462"/>
                <w:sz w:val="17"/>
                <w:szCs w:val="17"/>
              </w:rPr>
              <w:t>Light Phone III</w:t>
            </w:r>
          </w:p>
        </w:tc>
        <w:tc>
          <w:tcPr>
            <w:tcW w:w="3745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Celular minimalista, sem navegador, redes sociais ou apps</w:t>
            </w:r>
          </w:p>
        </w:tc>
        <w:tc>
          <w:tcPr>
            <w:tcW w:w="1701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US$ 599 a 899</w:t>
            </w:r>
          </w:p>
        </w:tc>
        <w:tc>
          <w:tcPr>
            <w:tcW w:w="16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R$ 3.050 a 4.585</w:t>
            </w:r>
          </w:p>
        </w:tc>
      </w:tr>
      <w:tr>
        <w:trPr/>
        <w:tc>
          <w:tcPr>
            <w:tcW w:w="26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65462"/>
                <w:sz w:val="17"/>
                <w:szCs w:val="17"/>
              </w:rPr>
              <w:t>Daylight DC-1</w:t>
            </w:r>
          </w:p>
        </w:tc>
        <w:tc>
          <w:tcPr>
            <w:tcW w:w="3745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Tablet com tela Live Paper para leitura e escrita sem distração</w:t>
            </w:r>
          </w:p>
        </w:tc>
        <w:tc>
          <w:tcPr>
            <w:tcW w:w="1701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US$ 729</w:t>
            </w:r>
          </w:p>
        </w:tc>
        <w:tc>
          <w:tcPr>
            <w:tcW w:w="16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R$ 3.720 (aprox.)</w:t>
            </w:r>
          </w:p>
        </w:tc>
      </w:tr>
      <w:tr>
        <w:trPr/>
        <w:tc>
          <w:tcPr>
            <w:tcW w:w="26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65462"/>
                <w:sz w:val="17"/>
                <w:szCs w:val="17"/>
              </w:rPr>
              <w:t>reMarkable Paper Pure</w:t>
            </w:r>
          </w:p>
        </w:tc>
        <w:tc>
          <w:tcPr>
            <w:tcW w:w="3745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Tablet e-ink dedicado à leitura e escrita</w:t>
            </w:r>
          </w:p>
        </w:tc>
        <w:tc>
          <w:tcPr>
            <w:tcW w:w="1701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US$ 399</w:t>
            </w:r>
          </w:p>
        </w:tc>
        <w:tc>
          <w:tcPr>
            <w:tcW w:w="16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R$ 2.035 (aprox.)</w:t>
            </w:r>
          </w:p>
        </w:tc>
      </w:tr>
      <w:tr>
        <w:trPr/>
        <w:tc>
          <w:tcPr>
            <w:tcW w:w="26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65462"/>
                <w:sz w:val="17"/>
                <w:szCs w:val="17"/>
              </w:rPr>
              <w:t>Kindle Scribe</w:t>
            </w:r>
          </w:p>
        </w:tc>
        <w:tc>
          <w:tcPr>
            <w:tcW w:w="3745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Tablet e-ink com caneta</w:t>
            </w:r>
          </w:p>
        </w:tc>
        <w:tc>
          <w:tcPr>
            <w:tcW w:w="1701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US$ 429 a 680</w:t>
            </w:r>
          </w:p>
        </w:tc>
        <w:tc>
          <w:tcPr>
            <w:tcW w:w="16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>R$ 2.190 a 3.470</w:t>
            </w:r>
          </w:p>
        </w:tc>
      </w:tr>
    </w:tbl>
    <w:p>
      <w:pPr>
        <w:pStyle w:val="Normal"/>
        <w:spacing w:before="260" w:after="0"/>
        <w:jc w:val="both"/>
        <w:rPr/>
      </w:pPr>
      <w:r>
        <w:rPr>
          <w:rFonts w:eastAsia="Calibri" w:cs="Calibri"/>
          <w:color w:val="1F1F1F"/>
          <w:sz w:val="22"/>
          <w:szCs w:val="22"/>
        </w:rPr>
        <w:t>A maioria desses dispositivos usa componentes tecnicamente simples, teclado, tela e-paper pequena, chip de conectividade, próximos do que o próprio Mnemos utiliza. O preço nesses casos não reflete o custo do componente: reflete o valor percebido de recuperar controle sobre a própria atenção. Isso sustenta, para o Mnemos, uma lógica de precificação por valor percebido, e não apenas de custo mais margem.</w:t>
      </w:r>
    </w:p>
    <w:p>
      <w:pPr>
        <w:pStyle w:val="Heading2"/>
        <w:keepNext w:val="true"/>
        <w:rPr/>
      </w:pPr>
      <w:r>
        <w:rPr/>
        <w:t>Financiamento coletivo validou a disposição a pagar</w:t>
      </w:r>
    </w:p>
    <w:tbl>
      <w:tblPr>
        <w:tblW w:w="9746" w:type="dxa"/>
        <w:jc w:val="left"/>
        <w:tblInd w:w="0" w:type="dxa"/>
        <w:tblLayout w:type="fixed"/>
        <w:tblCellMar>
          <w:top w:w="60" w:type="dxa"/>
          <w:left w:w="60" w:type="dxa"/>
          <w:bottom w:w="200" w:type="dxa"/>
          <w:right w:w="200" w:type="dxa"/>
        </w:tblCellMar>
      </w:tblPr>
      <w:tblGrid>
        <w:gridCol w:w="3248"/>
        <w:gridCol w:w="3249"/>
        <w:gridCol w:w="3249"/>
      </w:tblGrid>
      <w:tr>
        <w:trPr/>
        <w:tc>
          <w:tcPr>
            <w:tcW w:w="3248" w:type="dxa"/>
            <w:tcBorders/>
            <w:shd w:fill="FFFFFF" w:val="clear"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Cambria" w:cs="Cambria" w:ascii="Cambria" w:hAnsi="Cambria"/>
                <w:b/>
                <w:bCs/>
                <w:color w:val="365462"/>
                <w:sz w:val="34"/>
                <w:szCs w:val="34"/>
              </w:rPr>
              <w:t>US$ 342 mil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1F1F"/>
                <w:sz w:val="16"/>
                <w:szCs w:val="16"/>
              </w:rPr>
              <w:t>Arrecadados pelo Freewrite (Hemingwrite) em 2014, 137% da meta</w:t>
            </w:r>
          </w:p>
        </w:tc>
        <w:tc>
          <w:tcPr>
            <w:tcW w:w="3249" w:type="dxa"/>
            <w:tcBorders/>
            <w:shd w:fill="FFFFFF" w:val="clear"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Cambria" w:cs="Cambria" w:ascii="Cambria" w:hAnsi="Cambria"/>
                <w:b/>
                <w:bCs/>
                <w:color w:val="365462"/>
                <w:sz w:val="34"/>
                <w:szCs w:val="34"/>
              </w:rPr>
              <w:t>US$ 3,5 mi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1F1F"/>
                <w:sz w:val="16"/>
                <w:szCs w:val="16"/>
              </w:rPr>
              <w:t>Arrecadados pelo Light Phone 2 no Indiegogo em 2018</w:t>
            </w:r>
          </w:p>
        </w:tc>
        <w:tc>
          <w:tcPr>
            <w:tcW w:w="3249" w:type="dxa"/>
            <w:tcBorders/>
            <w:shd w:fill="FFFFFF" w:val="clear"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Cambria" w:cs="Cambria" w:ascii="Cambria" w:hAnsi="Cambria"/>
                <w:b/>
                <w:bCs/>
                <w:color w:val="365462"/>
                <w:sz w:val="34"/>
                <w:szCs w:val="34"/>
              </w:rPr>
              <w:t>8x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1F1F"/>
                <w:sz w:val="16"/>
                <w:szCs w:val="16"/>
              </w:rPr>
              <w:t>A meta original superada pelo Minimal Phone 2 em agosto de 2026</w:t>
            </w:r>
          </w:p>
        </w:tc>
      </w:tr>
    </w:tbl>
    <w:p>
      <w:pPr>
        <w:pStyle w:val="Normal"/>
        <w:spacing w:lineRule="exact" w:line="300" w:before="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Três campanhas recentes de financiamento coletivo confirmam que esse valor percebido se traduz em dinheiro real comprometido antes mesmo de o produto existir: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Hemingwrite, hoje Freewrite (Kickstarter, 2014): </w:t>
      </w:r>
      <w:r>
        <w:rPr>
          <w:rFonts w:eastAsia="Calibri" w:cs="Calibri"/>
          <w:color w:val="1F1F1F"/>
          <w:sz w:val="22"/>
          <w:szCs w:val="22"/>
        </w:rPr>
        <w:t>meta de US$ 250 mil, arrecadou US$ 342.471 com 1.096 apoiadores. A empresa resultante, a Astrohaus, segue ativa mais de uma década depois, com novas campanhas de sucesso em 2018, 2024 e 2025.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Light Phone (Kickstarter 2015 e Indiegogo 2018): </w:t>
      </w:r>
      <w:r>
        <w:rPr>
          <w:rFonts w:eastAsia="Calibri" w:cs="Calibri"/>
          <w:color w:val="1F1F1F"/>
          <w:sz w:val="22"/>
          <w:szCs w:val="22"/>
        </w:rPr>
        <w:t>o primeiro modelo arrecadou US$ 400 mil no Kickstarter; o Light Phone 2 arrecadou US$ 3,5 milhões no Indiegogo e, na sequência, atraiu US$ 8,4 milhões em capital de risco de investidores como um dos fundadores da Lyft.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Minimal Phone 2 (Kickstarter, agosto de 2026): </w:t>
      </w:r>
      <w:r>
        <w:rPr>
          <w:rFonts w:eastAsia="Calibri" w:cs="Calibri"/>
          <w:color w:val="1F1F1F"/>
          <w:sz w:val="22"/>
          <w:szCs w:val="22"/>
        </w:rPr>
        <w:t>meta de US$ 100 mil, ultrapassou US$ 800 mil arrecadados com mais de 1.200 apoiadores, campanha ainda em andamento no momento deste relatório.</w:t>
      </w:r>
    </w:p>
    <w:p>
      <w:pPr>
        <w:pStyle w:val="Normal"/>
        <w:spacing w:lineRule="exact" w:line="300" w:before="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O padrão se repete nos três casos: consumidores pagam adiantado, sem o produto pronto em mãos, especificamente por dispositivos que prometem menos distração e mais controle sobre a própria atenção. É uma evidência mais forte do que qualquer pesquisa de intenção de compra, porque envolve dinheiro comprometido antes da entrega.</w:t>
      </w:r>
    </w:p>
    <w:p>
      <w:pPr>
        <w:pStyle w:val="Normal"/>
        <w:spacing w:before="200" w:after="200"/>
        <w:jc w:val="both"/>
        <w:rPr/>
      </w:pPr>
      <w:r>
        <w:rPr>
          <w:rFonts w:eastAsia="Calibri" w:cs="Calibri"/>
          <w:b/>
          <w:bCs/>
          <w:color w:val="1F1F1F"/>
          <w:sz w:val="22"/>
          <w:szCs w:val="22"/>
        </w:rPr>
        <w:t xml:space="preserve">À luz desses precedentes, o preço de R$ 999 do Mnemos deveria ser tratado como um piso, não um teto. </w:t>
      </w:r>
      <w:r>
        <w:rPr>
          <w:rFonts w:eastAsia="Calibri" w:cs="Calibri"/>
          <w:color w:val="1F1F1F"/>
          <w:sz w:val="22"/>
          <w:szCs w:val="22"/>
        </w:rPr>
        <w:t>Um preço entre R$ 1.200 e R$ 1.600 estaria mais alinhado à faixa praticada por produtos comparáveis, ampliaria a margem bruta hoje considerada insuficiente, e ainda assim posicionaria o Mnemos como a opção mais acessível dentro dessa categoria de hardware dedicado ao foco. Essa revisão de preço afeta diretamente os cálculos de margem apresentados na Estrutura de Custos e merece validação junto aos primeiros usuários antes de ser fixada.</w:t>
      </w:r>
    </w:p>
    <w:p>
      <w:pPr>
        <w:pStyle w:val="Normal"/>
        <w:pBdr>
          <w:bottom w:val="single" w:sz="6" w:space="0" w:color="D9D5CC"/>
        </w:pBdr>
        <w:spacing w:before="100" w:after="300"/>
        <w:rPr/>
      </w:pPr>
      <w:r>
        <w:rPr/>
      </w:r>
    </w:p>
    <w:p>
      <w:pPr>
        <w:pStyle w:val="Heading1"/>
        <w:keepNext w:val="true"/>
        <w:rPr/>
      </w:pPr>
      <w:r>
        <w:rPr/>
        <w:t>8. Tamanho de Mercado</w:t>
      </w:r>
    </w:p>
    <w:p>
      <w:pPr>
        <w:pStyle w:val="Normal"/>
        <w:spacing w:lineRule="exact" w:line="300" w:before="0" w:after="200"/>
        <w:rPr/>
      </w:pPr>
      <w:r>
        <w:rPr>
          <w:rFonts w:eastAsia="Calibri" w:cs="Calibri"/>
          <w:color w:val="1F1F1F"/>
          <w:sz w:val="22"/>
          <w:szCs w:val="22"/>
        </w:rPr>
        <w:t>Dois grandes grupos de estudantes intensivos já têm dimensão pública e recente no Brasil.</w:t>
      </w:r>
    </w:p>
    <w:tbl>
      <w:tblPr>
        <w:tblW w:w="9746" w:type="dxa"/>
        <w:jc w:val="left"/>
        <w:tblInd w:w="0" w:type="dxa"/>
        <w:tblLayout w:type="fixed"/>
        <w:tblCellMar>
          <w:top w:w="60" w:type="dxa"/>
          <w:left w:w="60" w:type="dxa"/>
          <w:bottom w:w="200" w:type="dxa"/>
          <w:right w:w="200" w:type="dxa"/>
        </w:tblCellMar>
      </w:tblPr>
      <w:tblGrid>
        <w:gridCol w:w="2436"/>
        <w:gridCol w:w="2437"/>
        <w:gridCol w:w="2436"/>
        <w:gridCol w:w="2436"/>
      </w:tblGrid>
      <w:tr>
        <w:trPr/>
        <w:tc>
          <w:tcPr>
            <w:tcW w:w="2436" w:type="dxa"/>
            <w:tcBorders/>
            <w:shd w:fill="FFFFFF" w:val="clear"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Cambria" w:cs="Cambria" w:ascii="Cambria" w:hAnsi="Cambria"/>
                <w:b/>
                <w:bCs/>
                <w:color w:val="365462"/>
                <w:sz w:val="34"/>
                <w:szCs w:val="34"/>
              </w:rPr>
              <w:t>4,81M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1F1F"/>
                <w:sz w:val="16"/>
                <w:szCs w:val="16"/>
              </w:rPr>
              <w:t>Inscritos confirmados no Enem 2025</w:t>
            </w:r>
          </w:p>
        </w:tc>
        <w:tc>
          <w:tcPr>
            <w:tcW w:w="2437" w:type="dxa"/>
            <w:tcBorders/>
            <w:shd w:fill="FFFFFF" w:val="clear"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Cambria" w:cs="Cambria" w:ascii="Cambria" w:hAnsi="Cambria"/>
                <w:b/>
                <w:bCs/>
                <w:color w:val="365462"/>
                <w:sz w:val="34"/>
                <w:szCs w:val="34"/>
              </w:rPr>
              <w:t>9M+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1F1F"/>
                <w:sz w:val="16"/>
                <w:szCs w:val="16"/>
              </w:rPr>
              <w:t>Candidatos a concursos públicos em 2025</w:t>
            </w:r>
          </w:p>
        </w:tc>
        <w:tc>
          <w:tcPr>
            <w:tcW w:w="2436" w:type="dxa"/>
            <w:tcBorders/>
            <w:shd w:fill="FFFFFF" w:val="clear"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Cambria" w:cs="Cambria" w:ascii="Cambria" w:hAnsi="Cambria"/>
                <w:b/>
                <w:bCs/>
                <w:color w:val="365462"/>
                <w:sz w:val="34"/>
                <w:szCs w:val="34"/>
              </w:rPr>
              <w:t>R$ 5bi+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1F1F"/>
                <w:sz w:val="16"/>
                <w:szCs w:val="16"/>
              </w:rPr>
              <w:t>Movimentação estimada do setor de concursos</w:t>
            </w:r>
          </w:p>
        </w:tc>
        <w:tc>
          <w:tcPr>
            <w:tcW w:w="2436" w:type="dxa"/>
            <w:tcBorders/>
            <w:shd w:fill="FFFFFF" w:val="clear"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rFonts w:eastAsia="Cambria" w:cs="Cambria" w:ascii="Cambria" w:hAnsi="Cambria"/>
                <w:b/>
                <w:bCs/>
                <w:color w:val="365462"/>
                <w:sz w:val="34"/>
                <w:szCs w:val="34"/>
              </w:rPr>
              <w:t>100mil+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1F1F1F"/>
                <w:sz w:val="16"/>
                <w:szCs w:val="16"/>
              </w:rPr>
              <w:t>Vagas ofertadas em concursos públicos</w:t>
            </w:r>
          </w:p>
        </w:tc>
      </w:tr>
    </w:tbl>
    <w:p>
      <w:pPr>
        <w:pStyle w:val="Normal"/>
        <w:spacing w:before="0" w:after="240"/>
        <w:rPr/>
      </w:pPr>
      <w:r>
        <w:rPr>
          <w:rFonts w:eastAsia="Calibri" w:cs="Calibri"/>
          <w:i/>
          <w:iCs/>
          <w:color w:val="1F1F1F"/>
          <w:sz w:val="18"/>
          <w:szCs w:val="18"/>
        </w:rPr>
        <w:t>Fontes: Inep/MEC (Enem 2025); Aconexa, Associação de Apoio aos Concursos Públicos e Exames (mercado de concursos, 2025).</w:t>
      </w:r>
    </w:p>
    <w:p>
      <w:pPr>
        <w:pStyle w:val="Normal"/>
        <w:spacing w:lineRule="exact" w:line="300" w:before="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Esses dois grupos se sobrepõem parcialmente, já que parte de quem presta concurso também passou pelo Enem. A leitura de mercado é construída em camadas: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Mercado total: </w:t>
      </w:r>
      <w:r>
        <w:rPr>
          <w:rFonts w:eastAsia="Calibri" w:cs="Calibri"/>
          <w:color w:val="1F1F1F"/>
          <w:sz w:val="22"/>
          <w:szCs w:val="22"/>
        </w:rPr>
        <w:t>todo estudante brasileiro em preparação intensiva, incluindo concurseiros, vestibulandos, universitários de cursos longos e comunidades de estudo. Dezenas de milhões de pessoas.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Mercado disponível: </w:t>
      </w:r>
      <w:r>
        <w:rPr>
          <w:rFonts w:eastAsia="Calibri" w:cs="Calibri"/>
          <w:color w:val="1F1F1F"/>
          <w:sz w:val="22"/>
          <w:szCs w:val="22"/>
        </w:rPr>
        <w:t>quem tem poder de compra e disposição para investir em ferramentas fisicas de estudo, uma parcela que já soma múltiplos milhões de pessoas, dado que o setor de concursos movimenta R$ 5 bilhões por ano apenas em preparação.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Mercado obtível no primeiro ciclo: </w:t>
      </w:r>
      <w:r>
        <w:rPr>
          <w:rFonts w:eastAsia="Calibri" w:cs="Calibri"/>
          <w:color w:val="1F1F1F"/>
          <w:sz w:val="22"/>
          <w:szCs w:val="22"/>
        </w:rPr>
        <w:t>early adopters alcançáveis via nicho digital, pré-venda e criadores de conteúdo, o público prioritário da primeira fase comercial.</w:t>
      </w:r>
    </w:p>
    <w:p>
      <w:pPr>
        <w:pStyle w:val="Normal"/>
        <w:pBdr>
          <w:bottom w:val="single" w:sz="6" w:space="0" w:color="D9D5CC"/>
        </w:pBdr>
        <w:spacing w:before="100" w:after="300"/>
        <w:rPr/>
      </w:pPr>
      <w:r>
        <w:rPr/>
      </w:r>
    </w:p>
    <w:p>
      <w:pPr>
        <w:pStyle w:val="Heading1"/>
        <w:keepNext w:val="true"/>
        <w:rPr/>
      </w:pPr>
      <w:r>
        <w:rPr/>
        <w:t>9. Viabilidade Financeira</w:t>
      </w:r>
    </w:p>
    <w:p>
      <w:pPr>
        <w:pStyle w:val="Normal"/>
        <w:spacing w:lineRule="exact" w:line="300" w:before="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A margem de contribuição de R$ 435 por unidade define o ponto de equilíbrio do negócio:</w:t>
      </w:r>
    </w:p>
    <w:p>
      <w:pPr>
        <w:pStyle w:val="Normal"/>
        <w:spacing w:before="120" w:after="240"/>
        <w:jc w:val="center"/>
        <w:rPr/>
      </w:pPr>
      <w:r>
        <w:rPr>
          <w:rFonts w:eastAsia="Cambria" w:cs="Cambria" w:ascii="Cambria" w:hAnsi="Cambria"/>
          <w:b/>
          <w:bCs/>
          <w:color w:val="365462"/>
          <w:sz w:val="26"/>
          <w:szCs w:val="26"/>
        </w:rPr>
        <w:t>Unidades para o equilíbrio  =  Custos fixos  ÷  R$ 435</w:t>
      </w:r>
    </w:p>
    <w:p>
      <w:pPr>
        <w:pStyle w:val="Normal"/>
        <w:spacing w:lineRule="exact" w:line="300" w:before="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Os custos fixos, como equipe, ferramental, marketing e infraestrutura digital, são o próximo número a levantar para transformar essa fórmula em uma meta concreta de unidades para o primeiro ciclo comercial.</w:t>
      </w:r>
    </w:p>
    <w:p>
      <w:pPr>
        <w:pStyle w:val="Heading2"/>
        <w:keepNext w:val="true"/>
        <w:jc w:val="both"/>
        <w:rPr/>
      </w:pPr>
      <w:r>
        <w:rPr/>
        <w:t>Alavancas para a margem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Redução do custo de hardware: </w:t>
      </w:r>
      <w:r>
        <w:rPr>
          <w:rFonts w:eastAsia="Calibri" w:cs="Calibri"/>
          <w:color w:val="1F1F1F"/>
          <w:sz w:val="22"/>
          <w:szCs w:val="22"/>
        </w:rPr>
        <w:t>uma PCB própria em escala reduz o custo por unidade, com investimento inicial em ferramental.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Validação de preço: </w:t>
      </w:r>
      <w:r>
        <w:rPr>
          <w:rFonts w:eastAsia="Calibri" w:cs="Calibri"/>
          <w:color w:val="1F1F1F"/>
          <w:sz w:val="22"/>
          <w:szCs w:val="22"/>
        </w:rPr>
        <w:t>pré-venda com depósito real revela se o mercado aceita R$ 999 ou um pacote com o primeiro ano de assinatura incluído.</w:t>
      </w:r>
    </w:p>
    <w:p>
      <w:pPr>
        <w:pStyle w:val="ListParagraph"/>
        <w:numPr>
          <w:ilvl w:val="0"/>
          <w:numId w:val="1"/>
        </w:numPr>
        <w:spacing w:lineRule="exact" w:line="280" w:before="0" w:after="110"/>
        <w:jc w:val="both"/>
        <w:rPr/>
      </w:pPr>
      <w:r>
        <w:rPr>
          <w:rFonts w:eastAsia="Calibri" w:cs="Calibri"/>
          <w:b/>
          <w:bCs/>
          <w:color w:val="365462"/>
          <w:sz w:val="22"/>
          <w:szCs w:val="22"/>
        </w:rPr>
        <w:t xml:space="preserve">Financiamento não dilutivo: </w:t>
      </w:r>
      <w:r>
        <w:rPr>
          <w:rFonts w:eastAsia="Calibri" w:cs="Calibri"/>
          <w:color w:val="1F1F1F"/>
          <w:sz w:val="22"/>
          <w:szCs w:val="22"/>
        </w:rPr>
        <w:t>uma campanha de pré-venda ou financiamento coletivo testa demanda e preço ao mesmo tempo em que antecipa caixa para o primeiro lote de produção. Plataformas como o Catarse relatam forte interesse do público por projetos de educação, uma categoria historicamente sub-representada na oferta de campanhas.</w:t>
      </w:r>
    </w:p>
    <w:p>
      <w:pPr>
        <w:pStyle w:val="Normal"/>
        <w:spacing w:lineRule="exact" w:line="300" w:before="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A estrutura de custos completa ainda soma, no lado digital, hospedagem, banco de dados, armazenamento, autenticação e eventual uso de modelos de inteligência artificial externos; e, no lado físico, unidades defeituosas, trocas, garantia, embalagem, transporte e taxas de marketplace e pagamento.</w:t>
      </w:r>
    </w:p>
    <w:p>
      <w:pPr>
        <w:pStyle w:val="Normal"/>
        <w:pBdr>
          <w:bottom w:val="single" w:sz="6" w:space="0" w:color="D9D5CC"/>
        </w:pBdr>
        <w:spacing w:before="100" w:after="300"/>
        <w:rPr/>
      </w:pPr>
      <w:r>
        <w:rPr/>
      </w:r>
    </w:p>
    <w:p>
      <w:pPr>
        <w:pStyle w:val="Heading1"/>
        <w:keepNext w:val="true"/>
        <w:rPr/>
      </w:pPr>
      <w:r>
        <w:rPr/>
        <w:t>10. Roadmap Estratégico</w:t>
      </w:r>
    </w:p>
    <w:p>
      <w:pPr>
        <w:pStyle w:val="Normal"/>
        <w:spacing w:lineRule="exact" w:line="300" w:before="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Marcos planejados a partir de agosto de 2026, alinhados às atividades-chave do modelo de negócio, até o encerramento do ciclo de validação em dezembro de 2026.</w:t>
      </w:r>
    </w:p>
    <w:tbl>
      <w:tblPr>
        <w:tblW w:w="9746" w:type="dxa"/>
        <w:jc w:val="left"/>
        <w:tblInd w:w="0" w:type="dxa"/>
        <w:tblLayout w:type="fixed"/>
        <w:tblCellMar>
          <w:top w:w="110" w:type="dxa"/>
          <w:left w:w="130" w:type="dxa"/>
          <w:bottom w:w="110" w:type="dxa"/>
          <w:right w:w="130" w:type="dxa"/>
        </w:tblCellMar>
      </w:tblPr>
      <w:tblGrid>
        <w:gridCol w:w="1699"/>
        <w:gridCol w:w="8046"/>
      </w:tblGrid>
      <w:tr>
        <w:trPr/>
        <w:tc>
          <w:tcPr>
            <w:tcW w:w="16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365462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Período</w:t>
            </w:r>
          </w:p>
        </w:tc>
        <w:tc>
          <w:tcPr>
            <w:tcW w:w="8046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365462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Marcos</w:t>
            </w:r>
          </w:p>
        </w:tc>
      </w:tr>
      <w:tr>
        <w:trPr/>
        <w:tc>
          <w:tcPr>
            <w:tcW w:w="16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65462"/>
                <w:sz w:val="20"/>
                <w:szCs w:val="20"/>
              </w:rPr>
              <w:t>Agosto</w:t>
            </w:r>
          </w:p>
        </w:tc>
        <w:tc>
          <w:tcPr>
            <w:tcW w:w="8046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>Consolidar o protótipo funcional, publicar a landing page com lista de espera e iniciar entrevistas com concurseiros e universitários.</w:t>
            </w:r>
          </w:p>
        </w:tc>
      </w:tr>
      <w:tr>
        <w:trPr/>
        <w:tc>
          <w:tcPr>
            <w:tcW w:w="16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65462"/>
                <w:sz w:val="20"/>
                <w:szCs w:val="20"/>
              </w:rPr>
              <w:t>Setembro</w:t>
            </w:r>
          </w:p>
        </w:tc>
        <w:tc>
          <w:tcPr>
            <w:tcW w:w="8046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>Testes de usabilidade com e sem touchscreen, iteração do CardKB e do NFC, e finalização do MVP do aplicativo móvel.</w:t>
            </w:r>
          </w:p>
        </w:tc>
      </w:tr>
      <w:tr>
        <w:trPr/>
        <w:tc>
          <w:tcPr>
            <w:tcW w:w="16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65462"/>
                <w:sz w:val="20"/>
                <w:szCs w:val="20"/>
              </w:rPr>
              <w:t>Outubro</w:t>
            </w:r>
          </w:p>
        </w:tc>
        <w:tc>
          <w:tcPr>
            <w:tcW w:w="8046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>Piloto com grupo real por três a quatro semanas, início da coleta de dados de uso e produção de conteúdo com criadores de nicho.</w:t>
            </w:r>
          </w:p>
        </w:tc>
      </w:tr>
      <w:tr>
        <w:trPr/>
        <w:tc>
          <w:tcPr>
            <w:tcW w:w="16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65462"/>
                <w:sz w:val="20"/>
                <w:szCs w:val="20"/>
              </w:rPr>
              <w:t>Novembro</w:t>
            </w:r>
          </w:p>
        </w:tc>
        <w:tc>
          <w:tcPr>
            <w:tcW w:w="8046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>Validação de preço via pré-venda ou campanha piloto, consolidação das métricas do piloto e ajuste do algoritmo de repetição.</w:t>
            </w:r>
          </w:p>
        </w:tc>
      </w:tr>
      <w:tr>
        <w:trPr/>
        <w:tc>
          <w:tcPr>
            <w:tcW w:w="16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65462"/>
                <w:sz w:val="20"/>
                <w:szCs w:val="20"/>
              </w:rPr>
              <w:t>Dezembro</w:t>
            </w:r>
          </w:p>
        </w:tc>
        <w:tc>
          <w:tcPr>
            <w:tcW w:w="8046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>Consolidação da evidência técnica e comercial, relatório final de validação e decisão sobre os próximos passos.</w:t>
            </w:r>
          </w:p>
        </w:tc>
      </w:tr>
    </w:tbl>
    <w:p>
      <w:pPr>
        <w:pStyle w:val="Normal"/>
        <w:pBdr>
          <w:bottom w:val="single" w:sz="6" w:space="0" w:color="D9D5CC"/>
        </w:pBdr>
        <w:spacing w:before="100" w:after="300"/>
        <w:rPr/>
      </w:pPr>
      <w:r>
        <w:rPr/>
      </w:r>
    </w:p>
    <w:p>
      <w:pPr>
        <w:pStyle w:val="Heading1"/>
        <w:keepNext w:val="true"/>
        <w:rPr/>
      </w:pPr>
      <w:r>
        <w:rPr/>
        <w:t>11. Hipóteses Críticas e Riscos</w:t>
      </w:r>
    </w:p>
    <w:p>
      <w:pPr>
        <w:pStyle w:val="Normal"/>
        <w:spacing w:lineRule="exact" w:line="300" w:before="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A hipótese crítica do Mnemos não é tecnológica, é comportamental e comercial. Os riscos abaixo estão ordenados do mais fundamental ao mais operacional.</w:t>
      </w:r>
    </w:p>
    <w:tbl>
      <w:tblPr>
        <w:tblW w:w="9746" w:type="dxa"/>
        <w:jc w:val="left"/>
        <w:tblInd w:w="0" w:type="dxa"/>
        <w:tblLayout w:type="fixed"/>
        <w:tblCellMar>
          <w:top w:w="110" w:type="dxa"/>
          <w:left w:w="130" w:type="dxa"/>
          <w:bottom w:w="110" w:type="dxa"/>
          <w:right w:w="130" w:type="dxa"/>
        </w:tblCellMar>
      </w:tblPr>
      <w:tblGrid>
        <w:gridCol w:w="2246"/>
        <w:gridCol w:w="3800"/>
        <w:gridCol w:w="3700"/>
      </w:tblGrid>
      <w:tr>
        <w:trPr/>
        <w:tc>
          <w:tcPr>
            <w:tcW w:w="2246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365462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Risco</w:t>
            </w:r>
          </w:p>
        </w:tc>
        <w:tc>
          <w:tcPr>
            <w:tcW w:w="38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365462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7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365462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Mitigação</w:t>
            </w:r>
          </w:p>
        </w:tc>
      </w:tr>
      <w:tr>
        <w:trPr/>
        <w:tc>
          <w:tcPr>
            <w:tcW w:w="2246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65462"/>
                <w:sz w:val="18"/>
                <w:szCs w:val="18"/>
              </w:rPr>
              <w:t>Adoção comportamental</w:t>
            </w:r>
          </w:p>
        </w:tc>
        <w:tc>
          <w:tcPr>
            <w:tcW w:w="38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>Estudantes preferirem um app com modo foco no próprio smartphone a um objeto dedicado.</w:t>
            </w:r>
          </w:p>
        </w:tc>
        <w:tc>
          <w:tcPr>
            <w:tcW w:w="37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>Entrevistas e protótipo de baixo custo antes de qualquer produção em escala.</w:t>
            </w:r>
          </w:p>
        </w:tc>
      </w:tr>
      <w:tr>
        <w:trPr/>
        <w:tc>
          <w:tcPr>
            <w:tcW w:w="2246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65462"/>
                <w:sz w:val="18"/>
                <w:szCs w:val="18"/>
              </w:rPr>
              <w:t>Preço e acessibilidade</w:t>
            </w:r>
          </w:p>
        </w:tc>
        <w:tc>
          <w:tcPr>
            <w:tcW w:w="38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>R$ 999 pode ser alto para o orçamento médio de concurseiros e universitários.</w:t>
            </w:r>
          </w:p>
        </w:tc>
        <w:tc>
          <w:tcPr>
            <w:tcW w:w="37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>Testar elasticidade com pré-venda real e comparar contra o gasto já existente em cursinhos.</w:t>
            </w:r>
          </w:p>
        </w:tc>
      </w:tr>
      <w:tr>
        <w:trPr/>
        <w:tc>
          <w:tcPr>
            <w:tcW w:w="2246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65462"/>
                <w:sz w:val="18"/>
                <w:szCs w:val="18"/>
              </w:rPr>
              <w:t>Margem</w:t>
            </w:r>
          </w:p>
        </w:tc>
        <w:tc>
          <w:tcPr>
            <w:tcW w:w="38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>43,5% de margem bruta pode não cobrir aquisição de clientes, suporte e garantia.</w:t>
            </w:r>
          </w:p>
        </w:tc>
        <w:tc>
          <w:tcPr>
            <w:tcW w:w="37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>Aprofundar o estudo de unit economics e considerar assinatura embutida no primeiro ano.</w:t>
            </w:r>
          </w:p>
        </w:tc>
      </w:tr>
      <w:tr>
        <w:trPr/>
        <w:tc>
          <w:tcPr>
            <w:tcW w:w="2246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65462"/>
                <w:sz w:val="18"/>
                <w:szCs w:val="18"/>
              </w:rPr>
              <w:t>Capital para fabricação</w:t>
            </w:r>
          </w:p>
        </w:tc>
        <w:tc>
          <w:tcPr>
            <w:tcW w:w="38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>A transição para PCB própria envolve ferramental e prazos relevantes.</w:t>
            </w:r>
          </w:p>
        </w:tc>
        <w:tc>
          <w:tcPr>
            <w:tcW w:w="37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>Manter módulos prontos no primeiro lote e adiar a PCB própria para depois da validação.</w:t>
            </w:r>
          </w:p>
        </w:tc>
      </w:tr>
      <w:tr>
        <w:trPr/>
        <w:tc>
          <w:tcPr>
            <w:tcW w:w="2246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65462"/>
                <w:sz w:val="18"/>
                <w:szCs w:val="18"/>
              </w:rPr>
              <w:t>Dados sensíveis</w:t>
            </w:r>
          </w:p>
        </w:tc>
        <w:tc>
          <w:tcPr>
            <w:tcW w:w="38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>Dados comportamentais e cognitivos exigem tratamento cuidadoso; parte do público pode ser menor de idade.</w:t>
            </w:r>
          </w:p>
        </w:tc>
        <w:tc>
          <w:tcPr>
            <w:tcW w:w="37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>Política de privacidade e consentimento alinhados à LGPD desde o piloto.</w:t>
            </w:r>
          </w:p>
        </w:tc>
      </w:tr>
      <w:tr>
        <w:trPr/>
        <w:tc>
          <w:tcPr>
            <w:tcW w:w="2246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65462"/>
                <w:sz w:val="18"/>
                <w:szCs w:val="18"/>
              </w:rPr>
              <w:t>Hábito do usuário</w:t>
            </w:r>
          </w:p>
        </w:tc>
        <w:tc>
          <w:tcPr>
            <w:tcW w:w="38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>A alternativa mais forte ao Mnemos é o próprio usuário configurando um modo de foco no celular.</w:t>
            </w:r>
          </w:p>
        </w:tc>
        <w:tc>
          <w:tcPr>
            <w:tcW w:w="37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>Demonstrar que a fricção de trocar de dispositivo supera a fricção de configurar um modo foco.</w:t>
            </w:r>
          </w:p>
        </w:tc>
      </w:tr>
    </w:tbl>
    <w:p>
      <w:pPr>
        <w:pStyle w:val="Normal"/>
        <w:pBdr>
          <w:bottom w:val="single" w:sz="6" w:space="0" w:color="D9D5CC"/>
        </w:pBdr>
        <w:spacing w:before="100" w:after="300"/>
        <w:rPr/>
      </w:pPr>
      <w:r>
        <w:rPr/>
      </w:r>
    </w:p>
    <w:p>
      <w:pPr>
        <w:pStyle w:val="Heading1"/>
        <w:keepNext w:val="true"/>
        <w:rPr/>
      </w:pPr>
      <w:r>
        <w:rPr/>
        <w:t>12. Métricas de Validação</w:t>
      </w:r>
    </w:p>
    <w:p>
      <w:pPr>
        <w:pStyle w:val="Normal"/>
        <w:spacing w:lineRule="exact" w:line="300" w:before="0" w:after="200"/>
        <w:rPr/>
      </w:pPr>
      <w:r>
        <w:rPr>
          <w:rFonts w:eastAsia="Calibri" w:cs="Calibri"/>
          <w:color w:val="1F1F1F"/>
          <w:sz w:val="22"/>
          <w:szCs w:val="22"/>
        </w:rPr>
        <w:t>Metas que orientam o ciclo de validação até dezembro de 2026.</w:t>
      </w:r>
    </w:p>
    <w:tbl>
      <w:tblPr>
        <w:tblW w:w="9746" w:type="dxa"/>
        <w:jc w:val="left"/>
        <w:tblInd w:w="0" w:type="dxa"/>
        <w:tblLayout w:type="fixed"/>
        <w:tblCellMar>
          <w:top w:w="110" w:type="dxa"/>
          <w:left w:w="130" w:type="dxa"/>
          <w:bottom w:w="110" w:type="dxa"/>
          <w:right w:w="130" w:type="dxa"/>
        </w:tblCellMar>
      </w:tblPr>
      <w:tblGrid>
        <w:gridCol w:w="2800"/>
        <w:gridCol w:w="1999"/>
        <w:gridCol w:w="4947"/>
      </w:tblGrid>
      <w:tr>
        <w:trPr/>
        <w:tc>
          <w:tcPr>
            <w:tcW w:w="28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365462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19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365462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Meta</w:t>
            </w:r>
          </w:p>
        </w:tc>
        <w:tc>
          <w:tcPr>
            <w:tcW w:w="4947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365462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Por que importa</w:t>
            </w:r>
          </w:p>
        </w:tc>
      </w:tr>
      <w:tr>
        <w:trPr/>
        <w:tc>
          <w:tcPr>
            <w:tcW w:w="28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65462"/>
                <w:sz w:val="18"/>
                <w:szCs w:val="18"/>
              </w:rPr>
              <w:t>Lista de espera qualificada</w:t>
            </w:r>
          </w:p>
        </w:tc>
        <w:tc>
          <w:tcPr>
            <w:tcW w:w="19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>500 inscritos</w:t>
            </w:r>
          </w:p>
        </w:tc>
        <w:tc>
          <w:tcPr>
            <w:tcW w:w="4947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>Taxa de conversão de visitante para inscrito na landing page.</w:t>
            </w:r>
          </w:p>
        </w:tc>
      </w:tr>
      <w:tr>
        <w:trPr/>
        <w:tc>
          <w:tcPr>
            <w:tcW w:w="28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65462"/>
                <w:sz w:val="18"/>
                <w:szCs w:val="18"/>
              </w:rPr>
              <w:t>Entrevistas qualitativas</w:t>
            </w:r>
          </w:p>
        </w:tc>
        <w:tc>
          <w:tcPr>
            <w:tcW w:w="19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>40 conversas</w:t>
            </w:r>
          </w:p>
        </w:tc>
        <w:tc>
          <w:tcPr>
            <w:tcW w:w="4947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>Com concurseiros e universitários, sobre a percepção do produto.</w:t>
            </w:r>
          </w:p>
        </w:tc>
      </w:tr>
      <w:tr>
        <w:trPr/>
        <w:tc>
          <w:tcPr>
            <w:tcW w:w="28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65462"/>
                <w:sz w:val="18"/>
                <w:szCs w:val="18"/>
              </w:rPr>
              <w:t>Usuários piloto ativos</w:t>
            </w:r>
          </w:p>
        </w:tc>
        <w:tc>
          <w:tcPr>
            <w:tcW w:w="19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>20 pessoas</w:t>
            </w:r>
          </w:p>
        </w:tc>
        <w:tc>
          <w:tcPr>
            <w:tcW w:w="4947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>Retenção semanal de uso e satisfação ao longo de quatro semanas.</w:t>
            </w:r>
          </w:p>
        </w:tc>
      </w:tr>
      <w:tr>
        <w:trPr/>
        <w:tc>
          <w:tcPr>
            <w:tcW w:w="28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65462"/>
                <w:sz w:val="18"/>
                <w:szCs w:val="18"/>
              </w:rPr>
              <w:t>Pré-vendas confirmadas</w:t>
            </w:r>
          </w:p>
        </w:tc>
        <w:tc>
          <w:tcPr>
            <w:tcW w:w="19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>Depósito real</w:t>
            </w:r>
          </w:p>
        </w:tc>
        <w:tc>
          <w:tcPr>
            <w:tcW w:w="4947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>Única validação de preço que resiste a viés de resposta.</w:t>
            </w:r>
          </w:p>
        </w:tc>
      </w:tr>
      <w:tr>
        <w:trPr/>
        <w:tc>
          <w:tcPr>
            <w:tcW w:w="28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65462"/>
                <w:sz w:val="18"/>
                <w:szCs w:val="18"/>
              </w:rPr>
              <w:t>Correlação confiança-acerto</w:t>
            </w:r>
          </w:p>
        </w:tc>
        <w:tc>
          <w:tcPr>
            <w:tcW w:w="19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>Por usuário</w:t>
            </w:r>
          </w:p>
        </w:tc>
        <w:tc>
          <w:tcPr>
            <w:tcW w:w="4947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BFAF5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>Valida a tese metacognitiva central do produto.</w:t>
            </w:r>
          </w:p>
        </w:tc>
      </w:tr>
      <w:tr>
        <w:trPr/>
        <w:tc>
          <w:tcPr>
            <w:tcW w:w="2800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65462"/>
                <w:sz w:val="18"/>
                <w:szCs w:val="18"/>
              </w:rPr>
              <w:t>Autonomia de bateria</w:t>
            </w:r>
          </w:p>
        </w:tc>
        <w:tc>
          <w:tcPr>
            <w:tcW w:w="1999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>Real vs. estimada</w:t>
            </w:r>
          </w:p>
        </w:tc>
        <w:tc>
          <w:tcPr>
            <w:tcW w:w="4947" w:type="dxa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shd w:fill="FFFFFF" w:val="clear"/>
            <w:vAlign w:val="center"/>
          </w:tcPr>
          <w:p>
            <w:pPr>
              <w:pStyle w:val="Normal"/>
              <w:spacing w:lineRule="exact" w:line="260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>Uptime de sincronização sob uso diário.</w:t>
            </w:r>
          </w:p>
        </w:tc>
      </w:tr>
    </w:tbl>
    <w:p>
      <w:pPr>
        <w:pStyle w:val="Normal"/>
        <w:pBdr>
          <w:bottom w:val="single" w:sz="6" w:space="0" w:color="D9D5CC"/>
        </w:pBdr>
        <w:spacing w:before="100" w:after="300"/>
        <w:rPr/>
      </w:pPr>
      <w:r>
        <w:rPr/>
      </w:r>
    </w:p>
    <w:p>
      <w:pPr>
        <w:pStyle w:val="Heading1"/>
        <w:keepNext w:val="true"/>
        <w:rPr/>
      </w:pPr>
      <w:r>
        <w:rPr/>
        <w:t>13. Conclusão e Próximos Passos</w:t>
      </w:r>
    </w:p>
    <w:p>
      <w:pPr>
        <w:pStyle w:val="Normal"/>
        <w:spacing w:lineRule="exact" w:line="300" w:before="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A vantagem competitiva do Mnemos não está em ter mais funções que um smartphone, mas em restringir deliberadamente suas funções para transformar a revisão em uma atividade separada do ecossistema digital de distração.</w:t>
      </w:r>
    </w:p>
    <w:p>
      <w:pPr>
        <w:pStyle w:val="Normal"/>
        <w:spacing w:lineRule="exact" w:line="300" w:before="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A validação do produto precisa produzir duas evidências em paralelo: que o Mnemos funciona tecnicamente como terminal de aprendizagem, e que usuários reais compreendem a proposta, querem incorporá-la à própria rotina e atribuem a ela valor econômico suficiente para considerar a compra.</w:t>
      </w:r>
    </w:p>
    <w:p>
      <w:pPr>
        <w:pStyle w:val="Normal"/>
        <w:spacing w:lineRule="exact" w:line="300" w:before="0" w:after="200"/>
        <w:jc w:val="both"/>
        <w:rPr/>
      </w:pPr>
      <w:r>
        <w:rPr>
          <w:rFonts w:eastAsia="Calibri" w:cs="Calibri"/>
          <w:color w:val="1F1F1F"/>
          <w:sz w:val="22"/>
          <w:szCs w:val="22"/>
        </w:rPr>
        <w:t>O Business Model Canvas e o plano de negócios construído em torno dele organizam essas hipóteses e orientam a execução dos próximos meses, da validação técnica à validação comercial.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swiss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color w:val="1F1F1F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color w:val="1F1F1F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6" w:color="D9D5CC"/>
      </w:pBdr>
      <w:tabs>
        <w:tab w:val="clear" w:pos="720"/>
        <w:tab w:val="right" w:pos="9026" w:leader="none"/>
      </w:tabs>
      <w:rPr/>
    </w:pPr>
    <w:r>
      <w:rPr>
        <w:rFonts w:eastAsia="Calibri" w:cs="Calibri"/>
        <w:b/>
        <w:bCs/>
        <w:color w:val="365462"/>
        <w:spacing w:val="20"/>
        <w:sz w:val="16"/>
        <w:szCs w:val="16"/>
      </w:rPr>
      <w:t>MNEMOS</w:t>
    </w:r>
    <w:r>
      <w:rPr>
        <w:rFonts w:eastAsia="Calibri" w:cs="Calibri"/>
        <w:color w:val="1F1F1F"/>
        <w:sz w:val="16"/>
        <w:szCs w:val="16"/>
      </w:rPr>
      <w:tab/>
      <w:t>Plano de Negócios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6" w:color="D9D5CC"/>
      </w:pBdr>
      <w:tabs>
        <w:tab w:val="clear" w:pos="720"/>
        <w:tab w:val="right" w:pos="9026" w:leader="none"/>
      </w:tabs>
      <w:rPr/>
    </w:pPr>
    <w:r>
      <w:rPr>
        <w:rFonts w:eastAsia="Calibri" w:cs="Calibri"/>
        <w:b/>
        <w:bCs/>
        <w:color w:val="365462"/>
        <w:spacing w:val="20"/>
        <w:sz w:val="16"/>
        <w:szCs w:val="16"/>
      </w:rPr>
      <w:t>MNEMOS</w:t>
    </w:r>
    <w:r>
      <w:rPr>
        <w:rFonts w:eastAsia="Calibri" w:cs="Calibri"/>
        <w:color w:val="1F1F1F"/>
        <w:sz w:val="16"/>
        <w:szCs w:val="16"/>
      </w:rPr>
      <w:tab/>
      <w:t>Plano de Negócios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F1F1F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1F1F1F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>
      <w:pBdr>
        <w:bottom w:val="single" w:sz="8" w:space="8" w:color="B8A27A"/>
      </w:pBdr>
      <w:spacing w:before="420" w:after="200"/>
    </w:pPr>
    <w:rPr>
      <w:rFonts w:ascii="Cambria" w:hAnsi="Cambria" w:eastAsia="Cambria" w:cs="Cambria"/>
      <w:b/>
      <w:bCs/>
      <w:color w:val="365462"/>
      <w:sz w:val="32"/>
      <w:szCs w:val="32"/>
    </w:rPr>
  </w:style>
  <w:style w:type="paragraph" w:styleId="Heading2">
    <w:name w:val="Heading 2"/>
    <w:basedOn w:val="Ttulo"/>
    <w:qFormat/>
    <w:pPr>
      <w:spacing w:before="300" w:after="140"/>
    </w:pPr>
    <w:rPr>
      <w:rFonts w:ascii="Calibri" w:hAnsi="Calibri" w:eastAsia="Calibri" w:cs="Calibri"/>
      <w:b/>
      <w:bCs/>
      <w:color w:val="365462"/>
      <w:sz w:val="24"/>
      <w:szCs w:val="24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1F1F1F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1F1F1F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LibreOffice/24.2.7.2$Linux_X86_64 LibreOffice_project/420$Build-2</Application>
  <AppVersion>15.0000</AppVersion>
  <Pages>11</Pages>
  <Words>3345</Words>
  <Characters>18789</Characters>
  <CharactersWithSpaces>21841</CharactersWithSpaces>
  <Paragraphs>264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2026-08-17T18:33:16Z</dcterms:created>
  <dc:creator>Un-named</dc:creator>
  <dc:description/>
  <dc:language>pt-BR</dc:language>
  <cp:lastModifiedBy/>
  <dcterms:modified xsi:type="dcterms:W3CDTF">2026-08-17T19:23:34Z</dcterms:modified>
  <cp:revision>2</cp:revision>
  <dc:subject/>
  <dc:title/>
</cp:coreProperties>
</file>