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Amazonas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Amazonas possui 65.014 CAFs Pessoa Física ativos, equivalentes a 1,67% do total nacional. No PRONAF, o volume financeiro consolidado para a UF é R$ 45.013.305,12, equivalente a 0,31%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65.014</w:t>
            </w:r>
          </w:p>
        </w:tc>
        <w:tc>
          <w:tcPr>
            <w:tcW w:type="dxa" w:w="2160"/>
          </w:tcPr>
          <w:p>
            <w:r>
              <w:t>1,67%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3,20%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59.394</w:t>
            </w:r>
          </w:p>
        </w:tc>
        <w:tc>
          <w:tcPr>
            <w:tcW w:type="dxa" w:w="2160"/>
          </w:tcPr>
          <w:p>
            <w:r>
              <w:t>1,68%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64.112</w:t>
            </w:r>
          </w:p>
        </w:tc>
        <w:tc>
          <w:tcPr>
            <w:tcW w:type="dxa" w:w="2160"/>
          </w:tcPr>
          <w:p>
            <w:r>
              <w:t>1,82%</w:t>
            </w:r>
          </w:p>
        </w:tc>
      </w:tr>
    </w:tbl>
    <w:p>
      <w:r>
        <w:t>Avaliação da posição no ranking: AM está na 15ª posição entre 27 UFs, com participação de 1,67%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2.937</w:t>
            </w:r>
          </w:p>
        </w:tc>
        <w:tc>
          <w:tcPr>
            <w:tcW w:type="dxa" w:w="2160"/>
          </w:tcPr>
          <w:p>
            <w:r>
              <w:t>0,61%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R$ 45.013.305,12</w:t>
            </w:r>
          </w:p>
        </w:tc>
        <w:tc>
          <w:tcPr>
            <w:tcW w:type="dxa" w:w="2160"/>
          </w:tcPr>
          <w:p>
            <w:r>
              <w:t>0,31%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2.937</w:t>
            </w:r>
          </w:p>
        </w:tc>
        <w:tc>
          <w:tcPr>
            <w:tcW w:type="dxa" w:w="2160"/>
          </w:tcPr>
          <w:p>
            <w:r>
              <w:t>0,61%</w:t>
            </w:r>
          </w:p>
        </w:tc>
      </w:tr>
    </w:tbl>
    <w:p>
      <w:r>
        <w:t>Avaliação da posição no ranking: AM está na 25ª posição entre 27 UFs, com participação de 0,31%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1.631</w:t>
            </w:r>
          </w:p>
        </w:tc>
        <w:tc>
          <w:tcPr>
            <w:tcW w:type="dxa" w:w="2160"/>
          </w:tcPr>
          <w:p>
            <w:r>
              <w:t>1,71%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R$ 19.951.717,35</w:t>
            </w:r>
          </w:p>
        </w:tc>
        <w:tc>
          <w:tcPr>
            <w:tcW w:type="dxa" w:w="2160"/>
          </w:tcPr>
          <w:p>
            <w:r>
              <w:t>0,56%</w:t>
            </w:r>
          </w:p>
        </w:tc>
      </w:tr>
    </w:tbl>
    <w:p>
      <w:r>
        <w:t>Avaliação da posição no ranking: AM está na 16ª posição entre 27 UFs, com participação de 0,56%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0,77%</w:t>
            </w:r>
          </w:p>
        </w:tc>
      </w:tr>
    </w:tbl>
    <w:p>
      <w:r>
        <w:t>Avaliação da posição no ranking: AM está na 24ª posição entre 27 UFs, com participação de 0,77%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0,08%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</w:tr>
    </w:tbl>
    <w:p>
      <w:r>
        <w:t>Avaliação da posição no ranking: AM está na 11ª posição entre 27 UFs, com participação de 0,03%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AM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21,27%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2,74%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6,89%</w:t>
            </w:r>
          </w:p>
        </w:tc>
      </w:tr>
    </w:tbl>
    <w:p>
      <w:r>
        <w:t>Avaliação da posição no ranking: AM está na 4ª posição entre 27 UFs, com participação de 6,89%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