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Minas Gerais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Minas Gerais possui 266.478 CAFs Pessoa Física ativos, equivalentes a 6,84% do total nacional. No PRONAF, o volume financeiro consolidado para a UF é R$ 1.604.294.782,57, equivalente a 10,94%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266.478</w:t>
            </w:r>
          </w:p>
        </w:tc>
        <w:tc>
          <w:tcPr>
            <w:tcW w:type="dxa" w:w="2160"/>
          </w:tcPr>
          <w:p>
            <w:r>
              <w:t>6,84%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7,43%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252.645</w:t>
            </w:r>
          </w:p>
        </w:tc>
        <w:tc>
          <w:tcPr>
            <w:tcW w:type="dxa" w:w="2160"/>
          </w:tcPr>
          <w:p>
            <w:r>
              <w:t>7,16%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276.706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R$ 1.604.294.782,57</w:t>
            </w:r>
          </w:p>
        </w:tc>
        <w:tc>
          <w:tcPr>
            <w:tcW w:type="dxa" w:w="2160"/>
          </w:tcPr>
          <w:p>
            <w:r>
              <w:t>10,94%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9.036</w:t>
            </w:r>
          </w:p>
        </w:tc>
        <w:tc>
          <w:tcPr>
            <w:tcW w:type="dxa" w:w="2160"/>
          </w:tcPr>
          <w:p>
            <w:r>
              <w:t>9,48%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R$ 415.882.383,26</w:t>
            </w:r>
          </w:p>
        </w:tc>
        <w:tc>
          <w:tcPr>
            <w:tcW w:type="dxa" w:w="2160"/>
          </w:tcPr>
          <w:p>
            <w:r>
              <w:t>11,77%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10,03%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1.530</w:t>
            </w:r>
          </w:p>
        </w:tc>
        <w:tc>
          <w:tcPr>
            <w:tcW w:type="dxa" w:w="2160"/>
          </w:tcPr>
          <w:p>
            <w:r>
              <w:t>9,08%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41.649</w:t>
            </w:r>
          </w:p>
        </w:tc>
        <w:tc>
          <w:tcPr>
            <w:tcW w:type="dxa" w:w="2160"/>
          </w:tcPr>
          <w:p>
            <w:r>
              <w:t>4,63%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37.207</w:t>
            </w:r>
          </w:p>
        </w:tc>
        <w:tc>
          <w:tcPr>
            <w:tcW w:type="dxa" w:w="2160"/>
          </w:tcPr>
          <w:p>
            <w:r>
              <w:t>4,46%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R$ 6.609.340,83</w:t>
            </w:r>
          </w:p>
        </w:tc>
        <w:tc>
          <w:tcPr>
            <w:tcW w:type="dxa" w:w="2160"/>
          </w:tcPr>
          <w:p>
            <w:r>
              <w:t>6,35%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R$ 264.373,63</w:t>
            </w:r>
          </w:p>
        </w:tc>
        <w:tc>
          <w:tcPr>
            <w:tcW w:type="dxa" w:w="2160"/>
          </w:tcPr>
          <w:p>
            <w:r>
              <w:t>105,98%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0,09%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92,50%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1,31%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1,11%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