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Mato Grosso do Sul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Mato Grosso do Sul possui 28.415 CAFs Pessoa Física ativos, equivalentes a 0,73% do total nacional. No PRONAF, o volume financeiro consolidado para a UF é R$ 146.256.825,98, equivalente a 1,00%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28.415</w:t>
            </w:r>
          </w:p>
        </w:tc>
        <w:tc>
          <w:tcPr>
            <w:tcW w:type="dxa" w:w="2160"/>
          </w:tcPr>
          <w:p>
            <w:r>
              <w:t>0,73%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1,74%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24.963</w:t>
            </w:r>
          </w:p>
        </w:tc>
        <w:tc>
          <w:tcPr>
            <w:tcW w:type="dxa" w:w="2160"/>
          </w:tcPr>
          <w:p>
            <w:r>
              <w:t>0,71%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25.284</w:t>
            </w:r>
          </w:p>
        </w:tc>
        <w:tc>
          <w:tcPr>
            <w:tcW w:type="dxa" w:w="2160"/>
          </w:tcPr>
          <w:p>
            <w:r>
              <w:t>0,72%</w:t>
            </w:r>
          </w:p>
        </w:tc>
      </w:tr>
    </w:tbl>
    <w:p>
      <w:r>
        <w:t>Avaliação da posição no ranking: MS está na 23ª posição entre 27 UFs, com participação de 0,73%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3.397</w:t>
            </w:r>
          </w:p>
        </w:tc>
        <w:tc>
          <w:tcPr>
            <w:tcW w:type="dxa" w:w="2160"/>
          </w:tcPr>
          <w:p>
            <w:r>
              <w:t>0,70%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R$ 146.256.825,98</w:t>
            </w:r>
          </w:p>
        </w:tc>
        <w:tc>
          <w:tcPr>
            <w:tcW w:type="dxa" w:w="2160"/>
          </w:tcPr>
          <w:p>
            <w:r>
              <w:t>1,00%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3.397</w:t>
            </w:r>
          </w:p>
        </w:tc>
        <w:tc>
          <w:tcPr>
            <w:tcW w:type="dxa" w:w="2160"/>
          </w:tcPr>
          <w:p>
            <w:r>
              <w:t>0,70%</w:t>
            </w:r>
          </w:p>
        </w:tc>
      </w:tr>
    </w:tbl>
    <w:p>
      <w:r>
        <w:t>Avaliação da posição no ranking: MS está na 22ª posição entre 27 UFs, com participação de 1,00%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397</w:t>
            </w:r>
          </w:p>
        </w:tc>
        <w:tc>
          <w:tcPr>
            <w:tcW w:type="dxa" w:w="2160"/>
          </w:tcPr>
          <w:p>
            <w:r>
              <w:t>0,42%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R$ 17.313.219,84</w:t>
            </w:r>
          </w:p>
        </w:tc>
        <w:tc>
          <w:tcPr>
            <w:tcW w:type="dxa" w:w="2160"/>
          </w:tcPr>
          <w:p>
            <w:r>
              <w:t>0,49%</w:t>
            </w:r>
          </w:p>
        </w:tc>
      </w:tr>
    </w:tbl>
    <w:p>
      <w:r>
        <w:t>Avaliação da posição no ranking: MS está na 20ª posição entre 27 UFs, com participação de 0,49%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2,99%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2,39%</w:t>
            </w:r>
          </w:p>
        </w:tc>
      </w:tr>
    </w:tbl>
    <w:p>
      <w:r>
        <w:t>Avaliação da posição no ranking: MS está na 16ª posição entre 27 UFs, com participação de 2,39%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MS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MS não possui registro nesta base para o indicador de ranking (Valor liberado). Por isso, a UF não recebe uma colocação interpretável; o universo de comparação considera as 27 UFs oficiais.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Mato Grosso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7,94%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4,12%</w:t>
            </w:r>
          </w:p>
        </w:tc>
      </w:tr>
    </w:tbl>
    <w:p>
      <w:r>
        <w:t>Avaliação da posição no ranking: MS está na 7ª posição entre 27 UFs, com participação de 4,12%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