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Mato Grosso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Mato Grosso possui 46.130 CAFs Pessoa Física ativos, equivalentes a 1,18% do total nacional. No PRONAF, o volume financeiro consolidado para a UF é R$ 319.447.807,46, equivalente a 2,18%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46.130</w:t>
            </w:r>
          </w:p>
        </w:tc>
        <w:tc>
          <w:tcPr>
            <w:tcW w:type="dxa" w:w="2160"/>
          </w:tcPr>
          <w:p>
            <w:r>
              <w:t>1,18%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2,33%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35.771</w:t>
            </w:r>
          </w:p>
        </w:tc>
        <w:tc>
          <w:tcPr>
            <w:tcW w:type="dxa" w:w="2160"/>
          </w:tcPr>
          <w:p>
            <w:r>
              <w:t>1,01%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40.914</w:t>
            </w:r>
          </w:p>
        </w:tc>
        <w:tc>
          <w:tcPr>
            <w:tcW w:type="dxa" w:w="2160"/>
          </w:tcPr>
          <w:p>
            <w:r>
              <w:t>1,16%</w:t>
            </w:r>
          </w:p>
        </w:tc>
      </w:tr>
    </w:tbl>
    <w:p>
      <w:r>
        <w:t>Avaliação da posição no ranking: MT está na 18ª posição entre 27 UFs, com participação de 1,18%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3.492</w:t>
            </w:r>
          </w:p>
        </w:tc>
        <w:tc>
          <w:tcPr>
            <w:tcW w:type="dxa" w:w="2160"/>
          </w:tcPr>
          <w:p>
            <w:r>
              <w:t>0,72%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R$ 319.447.807,46</w:t>
            </w:r>
          </w:p>
        </w:tc>
        <w:tc>
          <w:tcPr>
            <w:tcW w:type="dxa" w:w="2160"/>
          </w:tcPr>
          <w:p>
            <w:r>
              <w:t>2,18%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3.492</w:t>
            </w:r>
          </w:p>
        </w:tc>
        <w:tc>
          <w:tcPr>
            <w:tcW w:type="dxa" w:w="2160"/>
          </w:tcPr>
          <w:p>
            <w:r>
              <w:t>0,72%</w:t>
            </w:r>
          </w:p>
        </w:tc>
      </w:tr>
    </w:tbl>
    <w:p>
      <w:r>
        <w:t>Avaliação da posição no ranking: MT está na 14ª posição entre 27 UFs, com participação de 2,18%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0,20%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R$ 14.513.403,65</w:t>
            </w:r>
          </w:p>
        </w:tc>
        <w:tc>
          <w:tcPr>
            <w:tcW w:type="dxa" w:w="2160"/>
          </w:tcPr>
          <w:p>
            <w:r>
              <w:t>0,41%</w:t>
            </w:r>
          </w:p>
        </w:tc>
      </w:tr>
    </w:tbl>
    <w:p>
      <w:r>
        <w:t>Avaliação da posição no ranking: MT está na 21ª posição entre 27 UFs, com participação de 0,41%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475</w:t>
            </w:r>
          </w:p>
        </w:tc>
        <w:tc>
          <w:tcPr>
            <w:tcW w:type="dxa" w:w="2160"/>
          </w:tcPr>
          <w:p>
            <w:r>
              <w:t>8,21%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475</w:t>
            </w:r>
          </w:p>
        </w:tc>
        <w:tc>
          <w:tcPr>
            <w:tcW w:type="dxa" w:w="2160"/>
          </w:tcPr>
          <w:p>
            <w:r>
              <w:t>2,82%</w:t>
            </w:r>
          </w:p>
        </w:tc>
      </w:tr>
    </w:tbl>
    <w:p>
      <w:r>
        <w:t>Avaliação da posição no ranking: MT está na 14ª posição entre 27 UFs, com participação de 2,82%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MT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MT não possui registro nesta base para o indicador de ranking (Valor liberado). Por isso, a UF não recebe uma colocação interpretável; o universo de comparação considera as 27 UFs oficiais.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0,21%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0,05%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3,04%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1,64%</w:t>
            </w:r>
          </w:p>
        </w:tc>
      </w:tr>
    </w:tbl>
    <w:p>
      <w:r>
        <w:t>Avaliação da posição no ranking: MT está na 11ª posição entre 27 UFs, com participação de 1,64%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