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Pará</w:t>
      </w:r>
    </w:p>
    <w:p>
      <w:r>
        <w:t>Gerado em: 27/04/2026 12:17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Pará possui 216.099 CAFs Pessoa Física ativos, equivalentes a 5,54% do total nacional. No PRONAF, o volume financeiro consolidado para a UF é R$ 658.786.280,49, equivalente a 4,49%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216.099</w:t>
            </w:r>
          </w:p>
        </w:tc>
        <w:tc>
          <w:tcPr>
            <w:tcW w:type="dxa" w:w="2160"/>
          </w:tcPr>
          <w:p>
            <w:r>
              <w:t>5,54%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364</w:t>
            </w:r>
          </w:p>
        </w:tc>
        <w:tc>
          <w:tcPr>
            <w:tcW w:type="dxa" w:w="2160"/>
          </w:tcPr>
          <w:p>
            <w:r>
              <w:t>3,97%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170.963</w:t>
            </w:r>
          </w:p>
        </w:tc>
        <w:tc>
          <w:tcPr>
            <w:tcW w:type="dxa" w:w="2160"/>
          </w:tcPr>
          <w:p>
            <w:r>
              <w:t>4,84%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180.953</w:t>
            </w:r>
          </w:p>
        </w:tc>
        <w:tc>
          <w:tcPr>
            <w:tcW w:type="dxa" w:w="2160"/>
          </w:tcPr>
          <w:p>
            <w:r>
              <w:t>5,14%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14.770</w:t>
            </w:r>
          </w:p>
        </w:tc>
        <w:tc>
          <w:tcPr>
            <w:tcW w:type="dxa" w:w="2160"/>
          </w:tcPr>
          <w:p>
            <w:r>
              <w:t>3,06%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R$ 658.786.280,49</w:t>
            </w:r>
          </w:p>
        </w:tc>
        <w:tc>
          <w:tcPr>
            <w:tcW w:type="dxa" w:w="2160"/>
          </w:tcPr>
          <w:p>
            <w:r>
              <w:t>4,49%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14.770</w:t>
            </w:r>
          </w:p>
        </w:tc>
        <w:tc>
          <w:tcPr>
            <w:tcW w:type="dxa" w:w="2160"/>
          </w:tcPr>
          <w:p>
            <w:r>
              <w:t>3,06%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4.432</w:t>
            </w:r>
          </w:p>
        </w:tc>
        <w:tc>
          <w:tcPr>
            <w:tcW w:type="dxa" w:w="2160"/>
          </w:tcPr>
          <w:p>
            <w:r>
              <w:t>4,65%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R$ 61.122.026,86</w:t>
            </w:r>
          </w:p>
        </w:tc>
        <w:tc>
          <w:tcPr>
            <w:tcW w:type="dxa" w:w="2160"/>
          </w:tcPr>
          <w:p>
            <w:r>
              <w:t>1,73%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0,76%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4.085</w:t>
            </w:r>
          </w:p>
        </w:tc>
        <w:tc>
          <w:tcPr>
            <w:tcW w:type="dxa" w:w="2160"/>
          </w:tcPr>
          <w:p>
            <w:r>
              <w:t>24,24%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1.446</w:t>
            </w:r>
          </w:p>
        </w:tc>
        <w:tc>
          <w:tcPr>
            <w:tcW w:type="dxa" w:w="2160"/>
          </w:tcPr>
          <w:p>
            <w:r>
              <w:t>61,77%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2,00%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661</w:t>
            </w:r>
          </w:p>
        </w:tc>
        <w:tc>
          <w:tcPr>
            <w:tcW w:type="dxa" w:w="2160"/>
          </w:tcPr>
          <w:p>
            <w:r>
              <w:t>13,95%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2.147</w:t>
            </w:r>
          </w:p>
        </w:tc>
        <w:tc>
          <w:tcPr>
            <w:tcW w:type="dxa" w:w="2160"/>
          </w:tcPr>
          <w:p>
            <w:r>
              <w:t>23,54%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