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Piauí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Piauí possui 281.486 CAFs Pessoa Física ativos, equivalentes a 7,22% do total nacional. No PRONAF, o volume financeiro consolidado para a UF é R$ 322.059.940,03, equivalente a 2,20%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Piauí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281.486</w:t>
            </w:r>
          </w:p>
        </w:tc>
        <w:tc>
          <w:tcPr>
            <w:tcW w:type="dxa" w:w="2160"/>
          </w:tcPr>
          <w:p>
            <w:r>
              <w:t>7,22%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514</w:t>
            </w:r>
          </w:p>
        </w:tc>
        <w:tc>
          <w:tcPr>
            <w:tcW w:type="dxa" w:w="2160"/>
          </w:tcPr>
          <w:p>
            <w:r>
              <w:t>5,61%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254.297</w:t>
            </w:r>
          </w:p>
        </w:tc>
        <w:tc>
          <w:tcPr>
            <w:tcW w:type="dxa" w:w="2160"/>
          </w:tcPr>
          <w:p>
            <w:r>
              <w:t>7,20%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229.500</w:t>
            </w:r>
          </w:p>
        </w:tc>
        <w:tc>
          <w:tcPr>
            <w:tcW w:type="dxa" w:w="2160"/>
          </w:tcPr>
          <w:p>
            <w:r>
              <w:t>6,52%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Piauí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39.268</w:t>
            </w:r>
          </w:p>
        </w:tc>
        <w:tc>
          <w:tcPr>
            <w:tcW w:type="dxa" w:w="2160"/>
          </w:tcPr>
          <w:p>
            <w:r>
              <w:t>8,15%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R$ 322.059.940,03</w:t>
            </w:r>
          </w:p>
        </w:tc>
        <w:tc>
          <w:tcPr>
            <w:tcW w:type="dxa" w:w="2160"/>
          </w:tcPr>
          <w:p>
            <w:r>
              <w:t>2,20%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39.268</w:t>
            </w:r>
          </w:p>
        </w:tc>
        <w:tc>
          <w:tcPr>
            <w:tcW w:type="dxa" w:w="2160"/>
          </w:tcPr>
          <w:p>
            <w:r>
              <w:t>8,15%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Piauí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7.015</w:t>
            </w:r>
          </w:p>
        </w:tc>
        <w:tc>
          <w:tcPr>
            <w:tcW w:type="dxa" w:w="2160"/>
          </w:tcPr>
          <w:p>
            <w:r>
              <w:t>7,36%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R$ 34.105.896,93</w:t>
            </w:r>
          </w:p>
        </w:tc>
        <w:tc>
          <w:tcPr>
            <w:tcW w:type="dxa" w:w="2160"/>
          </w:tcPr>
          <w:p>
            <w:r>
              <w:t>0,97%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Piauí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349</w:t>
            </w:r>
          </w:p>
        </w:tc>
        <w:tc>
          <w:tcPr>
            <w:tcW w:type="dxa" w:w="2160"/>
          </w:tcPr>
          <w:p>
            <w:r>
              <w:t>6,03%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520</w:t>
            </w:r>
          </w:p>
        </w:tc>
        <w:tc>
          <w:tcPr>
            <w:tcW w:type="dxa" w:w="2160"/>
          </w:tcPr>
          <w:p>
            <w:r>
              <w:t>3,09%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Piauí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73.655</w:t>
            </w:r>
          </w:p>
        </w:tc>
        <w:tc>
          <w:tcPr>
            <w:tcW w:type="dxa" w:w="2160"/>
          </w:tcPr>
          <w:p>
            <w:r>
              <w:t>8,18%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70.255</w:t>
            </w:r>
          </w:p>
        </w:tc>
        <w:tc>
          <w:tcPr>
            <w:tcW w:type="dxa" w:w="2160"/>
          </w:tcPr>
          <w:p>
            <w:r>
              <w:t>8,43%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Piauí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0,48%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R$ 555.487,94</w:t>
            </w:r>
          </w:p>
        </w:tc>
        <w:tc>
          <w:tcPr>
            <w:tcW w:type="dxa" w:w="2160"/>
          </w:tcPr>
          <w:p>
            <w:r>
              <w:t>0,53%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R$ 277.743,97</w:t>
            </w:r>
          </w:p>
        </w:tc>
        <w:tc>
          <w:tcPr>
            <w:tcW w:type="dxa" w:w="2160"/>
          </w:tcPr>
          <w:p>
            <w:r>
              <w:t>111,34%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Piauí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2,53%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1,32%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