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Paraná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Paraná possui 110.405 CAFs Pessoa Física ativos, equivalentes a 2,83% do total nacional. No PRONAF, o volume financeiro consolidado para a UF é R$ 1.684.841.253,74, equivalente a 11,48%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110.405</w:t>
            </w:r>
          </w:p>
        </w:tc>
        <w:tc>
          <w:tcPr>
            <w:tcW w:type="dxa" w:w="2160"/>
          </w:tcPr>
          <w:p>
            <w:r>
              <w:t>2,83%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5,06%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99.060</w:t>
            </w:r>
          </w:p>
        </w:tc>
        <w:tc>
          <w:tcPr>
            <w:tcW w:type="dxa" w:w="2160"/>
          </w:tcPr>
          <w:p>
            <w:r>
              <w:t>2,81%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115.725</w:t>
            </w:r>
          </w:p>
        </w:tc>
        <w:tc>
          <w:tcPr>
            <w:tcW w:type="dxa" w:w="2160"/>
          </w:tcPr>
          <w:p>
            <w:r>
              <w:t>3,29%</w:t>
            </w:r>
          </w:p>
        </w:tc>
      </w:tr>
    </w:tbl>
    <w:p>
      <w:r>
        <w:t>Avaliação da posição no ranking: PR está na 11ª posição entre 27 UFs, com participação de 2,83%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19.655</w:t>
            </w:r>
          </w:p>
        </w:tc>
        <w:tc>
          <w:tcPr>
            <w:tcW w:type="dxa" w:w="2160"/>
          </w:tcPr>
          <w:p>
            <w:r>
              <w:t>4,08%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R$ 1.684.841.253,74</w:t>
            </w:r>
          </w:p>
        </w:tc>
        <w:tc>
          <w:tcPr>
            <w:tcW w:type="dxa" w:w="2160"/>
          </w:tcPr>
          <w:p>
            <w:r>
              <w:t>11,48%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19.655</w:t>
            </w:r>
          </w:p>
        </w:tc>
        <w:tc>
          <w:tcPr>
            <w:tcW w:type="dxa" w:w="2160"/>
          </w:tcPr>
          <w:p>
            <w:r>
              <w:t>4,08%</w:t>
            </w:r>
          </w:p>
        </w:tc>
      </w:tr>
    </w:tbl>
    <w:p>
      <w:r>
        <w:t>Avaliação da posição no ranking: PR está na 3ª posição entre 27 UFs, com participação de 11,48%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4.976</w:t>
            </w:r>
          </w:p>
        </w:tc>
        <w:tc>
          <w:tcPr>
            <w:tcW w:type="dxa" w:w="2160"/>
          </w:tcPr>
          <w:p>
            <w:r>
              <w:t>5,22%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R$ 539.370.443,71</w:t>
            </w:r>
          </w:p>
        </w:tc>
        <w:tc>
          <w:tcPr>
            <w:tcW w:type="dxa" w:w="2160"/>
          </w:tcPr>
          <w:p>
            <w:r>
              <w:t>15,27%</w:t>
            </w:r>
          </w:p>
        </w:tc>
      </w:tr>
    </w:tbl>
    <w:p>
      <w:r>
        <w:t>Avaliação da posição no ranking: PR está na 3ª posição entre 27 UFs, com participação de 15,27%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7,29%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2,94%</w:t>
            </w:r>
          </w:p>
        </w:tc>
      </w:tr>
    </w:tbl>
    <w:p>
      <w:r>
        <w:t>Avaliação da posição no ranking: PR está na 13ª posição entre 27 UFs, com participação de 2,94%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PR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2,40%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R$ 2.852.820,00</w:t>
            </w:r>
          </w:p>
        </w:tc>
        <w:tc>
          <w:tcPr>
            <w:tcW w:type="dxa" w:w="2160"/>
          </w:tcPr>
          <w:p>
            <w:r>
              <w:t>2,74%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R$ 285.282,00</w:t>
            </w:r>
          </w:p>
        </w:tc>
        <w:tc>
          <w:tcPr>
            <w:tcW w:type="dxa" w:w="2160"/>
          </w:tcPr>
          <w:p>
            <w:r>
              <w:t>114,36%</w:t>
            </w:r>
          </w:p>
        </w:tc>
      </w:tr>
    </w:tbl>
    <w:p>
      <w:r>
        <w:t>Avaliação da posição no ranking: PR está na 11ª posição entre 27 UFs, com participação de 2,74%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Paraná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1,07%</w:t>
            </w:r>
          </w:p>
        </w:tc>
      </w:tr>
    </w:tbl>
    <w:p>
      <w:r>
        <w:t>Avaliação da posição no ranking: PR está na 17ª posição entre 27 UFs, com participação de 1,07%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