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Versão 1</w:t>
      </w:r>
    </w:p>
    <w:p>
      <w:pPr>
        <w:pStyle w:val="Title"/>
        <w:jc w:val="center"/>
      </w:pPr>
      <w:r>
        <w:t>Relatório Estadual de Monitoramento</w:t>
      </w:r>
    </w:p>
    <w:p>
      <w:pPr>
        <w:jc w:val="center"/>
      </w:pPr>
      <w:r>
        <w:t>Santa Catarina</w:t>
      </w:r>
    </w:p>
    <w:p>
      <w:r>
        <w:t>Gerado em: 27/04/2026 11:10</w:t>
      </w:r>
    </w:p>
    <w:p>
      <w:r>
        <w:t>Documento preliminar gerado a partir das bases de políticas públicas disponíveis. A estrutura segue o documento padrão v1 como referência editorial.</w:t>
      </w:r>
    </w:p>
    <w:p>
      <w:pPr>
        <w:pStyle w:val="Heading1"/>
      </w:pPr>
      <w:r>
        <w:t>Sumário Executivo</w:t>
      </w:r>
    </w:p>
    <w:p>
      <w:r>
        <w:t>Santa Catarina possui 79.161 CAFs Pessoa Física ativos, equivalentes a 2,03% do total nacional. No PRONAF, o volume financeiro consolidado para a UF é R$ 1.706.160.904,82, equivalente a 11,63% do Brasil.</w:t>
      </w:r>
    </w:p>
    <w:p>
      <w:pPr>
        <w:pStyle w:val="Heading1"/>
      </w:pPr>
      <w:r>
        <w:t>1. CAF - Cadastro da Agricultura Familiar</w:t>
      </w:r>
    </w:p>
    <w:p>
      <w:r>
        <w:t>Indicadores consolidados de CAF ativo, com recorte de pessoa física, pessoa jurídica e gênero.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Santa Catarina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CAFs Pessoa Física ativos</w:t>
            </w:r>
          </w:p>
        </w:tc>
        <w:tc>
          <w:tcPr>
            <w:tcW w:type="dxa" w:w="2160"/>
          </w:tcPr>
          <w:p>
            <w:r>
              <w:t>3.898.268</w:t>
            </w:r>
          </w:p>
        </w:tc>
        <w:tc>
          <w:tcPr>
            <w:tcW w:type="dxa" w:w="2160"/>
          </w:tcPr>
          <w:p>
            <w:r>
              <w:t>79.161</w:t>
            </w:r>
          </w:p>
        </w:tc>
        <w:tc>
          <w:tcPr>
            <w:tcW w:type="dxa" w:w="2160"/>
          </w:tcPr>
          <w:p>
            <w:r>
              <w:t>2,03%</w:t>
            </w:r>
          </w:p>
        </w:tc>
      </w:tr>
      <w:tr>
        <w:tc>
          <w:tcPr>
            <w:tcW w:type="dxa" w:w="2160"/>
          </w:tcPr>
          <w:p>
            <w:r>
              <w:t>CAFs Pessoa Jurídica ativos</w:t>
            </w:r>
          </w:p>
        </w:tc>
        <w:tc>
          <w:tcPr>
            <w:tcW w:type="dxa" w:w="2160"/>
          </w:tcPr>
          <w:p>
            <w:r>
              <w:t>9.161</w:t>
            </w:r>
          </w:p>
        </w:tc>
        <w:tc>
          <w:tcPr>
            <w:tcW w:type="dxa" w:w="2160"/>
          </w:tcPr>
          <w:p>
            <w:r>
              <w:t>197</w:t>
            </w:r>
          </w:p>
        </w:tc>
        <w:tc>
          <w:tcPr>
            <w:tcW w:type="dxa" w:w="2160"/>
          </w:tcPr>
          <w:p>
            <w:r>
              <w:t>2,15%</w:t>
            </w:r>
          </w:p>
        </w:tc>
      </w:tr>
      <w:tr>
        <w:tc>
          <w:tcPr>
            <w:tcW w:type="dxa" w:w="2160"/>
          </w:tcPr>
          <w:p>
            <w:r>
              <w:t>Mulheres em CAF ativo</w:t>
            </w:r>
          </w:p>
        </w:tc>
        <w:tc>
          <w:tcPr>
            <w:tcW w:type="dxa" w:w="2160"/>
          </w:tcPr>
          <w:p>
            <w:r>
              <w:t>3.529.596</w:t>
            </w:r>
          </w:p>
        </w:tc>
        <w:tc>
          <w:tcPr>
            <w:tcW w:type="dxa" w:w="2160"/>
          </w:tcPr>
          <w:p>
            <w:r>
              <w:t>72.576</w:t>
            </w:r>
          </w:p>
        </w:tc>
        <w:tc>
          <w:tcPr>
            <w:tcW w:type="dxa" w:w="2160"/>
          </w:tcPr>
          <w:p>
            <w:r>
              <w:t>2,06%</w:t>
            </w:r>
          </w:p>
        </w:tc>
      </w:tr>
      <w:tr>
        <w:tc>
          <w:tcPr>
            <w:tcW w:type="dxa" w:w="2160"/>
          </w:tcPr>
          <w:p>
            <w:r>
              <w:t>Homens em CAF ativo</w:t>
            </w:r>
          </w:p>
        </w:tc>
        <w:tc>
          <w:tcPr>
            <w:tcW w:type="dxa" w:w="2160"/>
          </w:tcPr>
          <w:p>
            <w:r>
              <w:t>3.519.584</w:t>
            </w:r>
          </w:p>
        </w:tc>
        <w:tc>
          <w:tcPr>
            <w:tcW w:type="dxa" w:w="2160"/>
          </w:tcPr>
          <w:p>
            <w:r>
              <w:t>86.756</w:t>
            </w:r>
          </w:p>
        </w:tc>
        <w:tc>
          <w:tcPr>
            <w:tcW w:type="dxa" w:w="2160"/>
          </w:tcPr>
          <w:p>
            <w:r>
              <w:t>2,46%</w:t>
            </w:r>
          </w:p>
        </w:tc>
      </w:tr>
    </w:tbl>
    <w:p>
      <w:r>
        <w:t>Fonte: CAF Transparência.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Jovens em CAF ativo. Informação não disponível nas bases atuais.</w:t>
      </w:r>
    </w:p>
    <w:p>
      <w:pPr>
        <w:pStyle w:val="ListBullet"/>
      </w:pPr>
      <w:r>
        <w:t>Quilombolas, indígenas e povos e comunidades tradicionais com DAP. Informação não disponível nas bases atuais.</w:t>
      </w:r>
    </w:p>
    <w:p>
      <w:pPr>
        <w:pStyle w:val="ListBullet"/>
      </w:pPr>
      <w:r>
        <w:t>Principais produtos da agricultura familiar no estado. Informação não disponível nas bases atuais.</w:t>
      </w:r>
    </w:p>
    <w:p>
      <w:pPr>
        <w:pStyle w:val="ListBullet"/>
      </w:pPr>
      <w:r>
        <w:t>Produtos com maior valor total de produção no estado. Informação não disponível nas bases atuais.</w:t>
      </w:r>
    </w:p>
    <w:p>
      <w:pPr>
        <w:pStyle w:val="Heading1"/>
      </w:pPr>
      <w:r>
        <w:t>2. PRONAF</w:t>
      </w:r>
    </w:p>
    <w:p>
      <w:r>
        <w:t>Dados gerais de contratos, operações e volume financeiro do PRONAF.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Santa Catarina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18.872</w:t>
            </w:r>
          </w:p>
        </w:tc>
        <w:tc>
          <w:tcPr>
            <w:tcW w:type="dxa" w:w="2160"/>
          </w:tcPr>
          <w:p>
            <w:r>
              <w:t>3,92%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R$ 14.671.081.816,64</w:t>
            </w:r>
          </w:p>
        </w:tc>
        <w:tc>
          <w:tcPr>
            <w:tcW w:type="dxa" w:w="2160"/>
          </w:tcPr>
          <w:p>
            <w:r>
              <w:t>R$ 1.706.160.904,82</w:t>
            </w:r>
          </w:p>
        </w:tc>
        <w:tc>
          <w:tcPr>
            <w:tcW w:type="dxa" w:w="2160"/>
          </w:tcPr>
          <w:p>
            <w:r>
              <w:t>11,63%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18.872</w:t>
            </w:r>
          </w:p>
        </w:tc>
        <w:tc>
          <w:tcPr>
            <w:tcW w:type="dxa" w:w="2160"/>
          </w:tcPr>
          <w:p>
            <w:r>
              <w:t>3,92%</w:t>
            </w:r>
          </w:p>
        </w:tc>
      </w:tr>
    </w:tbl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detalhada no formato do documento padrão. Informação não disponível nas bases atuais.</w:t>
      </w:r>
    </w:p>
    <w:p>
      <w:pPr>
        <w:pStyle w:val="Heading1"/>
      </w:pPr>
      <w:r>
        <w:t>3. Mais Alimentos</w:t>
      </w:r>
    </w:p>
    <w:p>
      <w:r>
        <w:t>Quantidade de contratos e valor total dos contratos do Mais Alimentos.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Santa Catarina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95.355</w:t>
            </w:r>
          </w:p>
        </w:tc>
        <w:tc>
          <w:tcPr>
            <w:tcW w:type="dxa" w:w="2160"/>
          </w:tcPr>
          <w:p>
            <w:r>
              <w:t>5.527</w:t>
            </w:r>
          </w:p>
        </w:tc>
        <w:tc>
          <w:tcPr>
            <w:tcW w:type="dxa" w:w="2160"/>
          </w:tcPr>
          <w:p>
            <w:r>
              <w:t>5,80%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R$ 3.533.334.483,94</w:t>
            </w:r>
          </w:p>
        </w:tc>
        <w:tc>
          <w:tcPr>
            <w:tcW w:type="dxa" w:w="2160"/>
          </w:tcPr>
          <w:p>
            <w:r>
              <w:t>R$ 580.058.120,89</w:t>
            </w:r>
          </w:p>
        </w:tc>
        <w:tc>
          <w:tcPr>
            <w:tcW w:type="dxa" w:w="2160"/>
          </w:tcPr>
          <w:p>
            <w:r>
              <w:t>16,42%</w:t>
            </w:r>
          </w:p>
        </w:tc>
      </w:tr>
    </w:tbl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4. ATER</w:t>
      </w:r>
    </w:p>
    <w:p>
      <w:r>
        <w:t>Famílias com ATER iniciada e recebida no ano.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Santa Catarina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com ATER iniciada no ano</w:t>
            </w:r>
          </w:p>
        </w:tc>
        <w:tc>
          <w:tcPr>
            <w:tcW w:type="dxa" w:w="2160"/>
          </w:tcPr>
          <w:p>
            <w:r>
              <w:t>5.785</w:t>
            </w:r>
          </w:p>
        </w:tc>
        <w:tc>
          <w:tcPr>
            <w:tcW w:type="dxa" w:w="2160"/>
          </w:tcPr>
          <w:p>
            <w:r>
              <w:t>563</w:t>
            </w:r>
          </w:p>
        </w:tc>
        <w:tc>
          <w:tcPr>
            <w:tcW w:type="dxa" w:w="2160"/>
          </w:tcPr>
          <w:p>
            <w:r>
              <w:t>9,73%</w:t>
            </w:r>
          </w:p>
        </w:tc>
      </w:tr>
      <w:tr>
        <w:tc>
          <w:tcPr>
            <w:tcW w:type="dxa" w:w="2160"/>
          </w:tcPr>
          <w:p>
            <w:r>
              <w:t>Famílias com ATER recebida no ano</w:t>
            </w:r>
          </w:p>
        </w:tc>
        <w:tc>
          <w:tcPr>
            <w:tcW w:type="dxa" w:w="2160"/>
          </w:tcPr>
          <w:p>
            <w:r>
              <w:t>16.855</w:t>
            </w:r>
          </w:p>
        </w:tc>
        <w:tc>
          <w:tcPr>
            <w:tcW w:type="dxa" w:w="2160"/>
          </w:tcPr>
          <w:p>
            <w:r>
              <w:t>678</w:t>
            </w:r>
          </w:p>
        </w:tc>
        <w:tc>
          <w:tcPr>
            <w:tcW w:type="dxa" w:w="2160"/>
          </w:tcPr>
          <w:p>
            <w:r>
              <w:t>4,02%</w:t>
            </w:r>
          </w:p>
        </w:tc>
      </w:tr>
    </w:tbl>
    <w:p>
      <w:r>
        <w:t>Fonte: Base ATER/ANATER. Referência: 03/2026. Geração da base: 10/04/2026.</w:t>
      </w:r>
    </w:p>
    <w:p>
      <w:pPr>
        <w:pStyle w:val="Heading1"/>
      </w:pPr>
      <w:r>
        <w:t>5. Garantia-Safra</w:t>
      </w:r>
    </w:p>
    <w:p>
      <w:r>
        <w:t>Agricultores aderidos e agricultores com pagamento liberado no Garantia-Safra.</w:t>
      </w:r>
    </w:p>
    <w:p>
      <w:r>
        <w:t>Sem registros para a UF nesta base. Os indicadores estaduais aparecem como zero e devem ser interpretados como ausência de registro na base atual.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Santa Catarina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Agricultores aderidos</w:t>
            </w:r>
          </w:p>
        </w:tc>
        <w:tc>
          <w:tcPr>
            <w:tcW w:type="dxa" w:w="2160"/>
          </w:tcPr>
          <w:p>
            <w:r>
              <w:t>900.332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Agricultores com pagamento liberado</w:t>
            </w:r>
          </w:p>
        </w:tc>
        <w:tc>
          <w:tcPr>
            <w:tcW w:type="dxa" w:w="2160"/>
          </w:tcPr>
          <w:p>
            <w:r>
              <w:t>833.621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</w:tbl>
    <w:p>
      <w:r>
        <w:t>Fonte: Garantia-Safra. Referência: 2023-2024. Geração da base: 13/04/2026.</w:t>
      </w:r>
    </w:p>
    <w:p>
      <w:r>
        <w:t>Lacunas em relação ao documento padrão:</w:t>
      </w:r>
    </w:p>
    <w:p>
      <w:pPr>
        <w:pStyle w:val="ListBullet"/>
      </w:pPr>
      <w:r>
        <w:t>Seção sem equivalente direto no documento padrão v1; incluída porque há base disponível. Informação não disponível nas bases atuais.</w:t>
      </w:r>
    </w:p>
    <w:p>
      <w:pPr>
        <w:pStyle w:val="Heading1"/>
      </w:pPr>
      <w:r>
        <w:t>6. PNCF</w:t>
      </w:r>
    </w:p>
    <w:p>
      <w:r>
        <w:t>Número de operações, valor liberado e valor médio liberado por operação.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Santa Catarina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417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0,24%</w:t>
            </w:r>
          </w:p>
        </w:tc>
      </w:tr>
      <w:tr>
        <w:tc>
          <w:tcPr>
            <w:tcW w:type="dxa" w:w="2160"/>
          </w:tcPr>
          <w:p>
            <w:r>
              <w:t>Valor liberado</w:t>
            </w:r>
          </w:p>
        </w:tc>
        <w:tc>
          <w:tcPr>
            <w:tcW w:type="dxa" w:w="2160"/>
          </w:tcPr>
          <w:p>
            <w:r>
              <w:t>R$ 104.024.293,61</w:t>
            </w:r>
          </w:p>
        </w:tc>
        <w:tc>
          <w:tcPr>
            <w:tcW w:type="dxa" w:w="2160"/>
          </w:tcPr>
          <w:p>
            <w:r>
              <w:t>R$ 280.000,00</w:t>
            </w:r>
          </w:p>
        </w:tc>
        <w:tc>
          <w:tcPr>
            <w:tcW w:type="dxa" w:w="2160"/>
          </w:tcPr>
          <w:p>
            <w:r>
              <w:t>0,27%</w:t>
            </w:r>
          </w:p>
        </w:tc>
      </w:tr>
      <w:tr>
        <w:tc>
          <w:tcPr>
            <w:tcW w:type="dxa" w:w="2160"/>
          </w:tcPr>
          <w:p>
            <w:r>
              <w:t>Valor médio liberado por operação</w:t>
            </w:r>
          </w:p>
        </w:tc>
        <w:tc>
          <w:tcPr>
            <w:tcW w:type="dxa" w:w="2160"/>
          </w:tcPr>
          <w:p>
            <w:r>
              <w:t>R$ 249.458,74</w:t>
            </w:r>
          </w:p>
        </w:tc>
        <w:tc>
          <w:tcPr>
            <w:tcW w:type="dxa" w:w="2160"/>
          </w:tcPr>
          <w:p>
            <w:r>
              <w:t>R$ 280.000,00</w:t>
            </w:r>
          </w:p>
        </w:tc>
        <w:tc>
          <w:tcPr>
            <w:tcW w:type="dxa" w:w="2160"/>
          </w:tcPr>
          <w:p>
            <w:r>
              <w:t>112,24%</w:t>
            </w:r>
          </w:p>
        </w:tc>
      </w:tr>
    </w:tbl>
    <w:p>
      <w:r>
        <w:t>Fonte: PNCF.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7. PNRA - Reforma Agrária</w:t>
      </w:r>
    </w:p>
    <w:p>
      <w:r>
        <w:t>Famílias por tipo de assentamento, reconhecimento e regularização no PNRA.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Santa Catarina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em PA criado diferenciado</w:t>
            </w:r>
          </w:p>
        </w:tc>
        <w:tc>
          <w:tcPr>
            <w:tcW w:type="dxa" w:w="2160"/>
          </w:tcPr>
          <w:p>
            <w:r>
              <w:t>2.341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PA criado tradicional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reconhecimento</w:t>
            </w:r>
          </w:p>
        </w:tc>
        <w:tc>
          <w:tcPr>
            <w:tcW w:type="dxa" w:w="2160"/>
          </w:tcPr>
          <w:p>
            <w:r>
              <w:t>2.000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regularização</w:t>
            </w:r>
          </w:p>
        </w:tc>
        <w:tc>
          <w:tcPr>
            <w:tcW w:type="dxa" w:w="2160"/>
          </w:tcPr>
          <w:p>
            <w:r>
              <w:t>4.738</w:t>
            </w:r>
          </w:p>
        </w:tc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0,74%</w:t>
            </w:r>
          </w:p>
        </w:tc>
      </w:tr>
      <w:tr>
        <w:tc>
          <w:tcPr>
            <w:tcW w:type="dxa" w:w="2160"/>
          </w:tcPr>
          <w:p>
            <w:r>
              <w:t>Total de famílias</w:t>
            </w:r>
          </w:p>
        </w:tc>
        <w:tc>
          <w:tcPr>
            <w:tcW w:type="dxa" w:w="2160"/>
          </w:tcPr>
          <w:p>
            <w:r>
              <w:t>9.119</w:t>
            </w:r>
          </w:p>
        </w:tc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0,38%</w:t>
            </w:r>
          </w:p>
        </w:tc>
      </w:tr>
    </w:tbl>
    <w:p>
      <w:r>
        <w:t>Fonte: PNRA. Referência: 2026 até mar. Geração da base: 15/04/2026.</w:t>
      </w:r>
    </w:p>
    <w:p>
      <w:r>
        <w:t>Lacunas em relação ao documento padrão:</w:t>
      </w:r>
    </w:p>
    <w:p>
      <w:pPr>
        <w:pStyle w:val="ListBullet"/>
      </w:pPr>
      <w:r>
        <w:t>Quadros históricos anuais no formato do documento padrão. Informação não disponível nas bases atuais.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