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Sergipe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Sergipe possui 65.849 CAFs Pessoa Física ativos, equivalentes a 1,69% do total nacional. No PRONAF, o volume financeiro consolidado para a UF é R$ 357.701.496,26, equivalente a 2,44%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65.849</w:t>
            </w:r>
          </w:p>
        </w:tc>
        <w:tc>
          <w:tcPr>
            <w:tcW w:type="dxa" w:w="2160"/>
          </w:tcPr>
          <w:p>
            <w:r>
              <w:t>1,69%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1,19%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57.184</w:t>
            </w:r>
          </w:p>
        </w:tc>
        <w:tc>
          <w:tcPr>
            <w:tcW w:type="dxa" w:w="2160"/>
          </w:tcPr>
          <w:p>
            <w:r>
              <w:t>1,62%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54.401</w:t>
            </w:r>
          </w:p>
        </w:tc>
        <w:tc>
          <w:tcPr>
            <w:tcW w:type="dxa" w:w="2160"/>
          </w:tcPr>
          <w:p>
            <w:r>
              <w:t>1,55%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12.988</w:t>
            </w:r>
          </w:p>
        </w:tc>
        <w:tc>
          <w:tcPr>
            <w:tcW w:type="dxa" w:w="2160"/>
          </w:tcPr>
          <w:p>
            <w:r>
              <w:t>2,69%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R$ 357.701.496,26</w:t>
            </w:r>
          </w:p>
        </w:tc>
        <w:tc>
          <w:tcPr>
            <w:tcW w:type="dxa" w:w="2160"/>
          </w:tcPr>
          <w:p>
            <w:r>
              <w:t>2,44%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12.988</w:t>
            </w:r>
          </w:p>
        </w:tc>
        <w:tc>
          <w:tcPr>
            <w:tcW w:type="dxa" w:w="2160"/>
          </w:tcPr>
          <w:p>
            <w:r>
              <w:t>2,69%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1.405</w:t>
            </w:r>
          </w:p>
        </w:tc>
        <w:tc>
          <w:tcPr>
            <w:tcW w:type="dxa" w:w="2160"/>
          </w:tcPr>
          <w:p>
            <w:r>
              <w:t>1,47%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R$ 26.037.294,31</w:t>
            </w:r>
          </w:p>
        </w:tc>
        <w:tc>
          <w:tcPr>
            <w:tcW w:type="dxa" w:w="2160"/>
          </w:tcPr>
          <w:p>
            <w:r>
              <w:t>0,74%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3,84%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15.939</w:t>
            </w:r>
          </w:p>
        </w:tc>
        <w:tc>
          <w:tcPr>
            <w:tcW w:type="dxa" w:w="2160"/>
          </w:tcPr>
          <w:p>
            <w:r>
              <w:t>1,77%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15.799</w:t>
            </w:r>
          </w:p>
        </w:tc>
        <w:tc>
          <w:tcPr>
            <w:tcW w:type="dxa" w:w="2160"/>
          </w:tcPr>
          <w:p>
            <w:r>
              <w:t>1,90%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R$ 5.555.950,18</w:t>
            </w:r>
          </w:p>
        </w:tc>
        <w:tc>
          <w:tcPr>
            <w:tcW w:type="dxa" w:w="2160"/>
          </w:tcPr>
          <w:p>
            <w:r>
              <w:t>5,34%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R$ 222.238,01</w:t>
            </w:r>
          </w:p>
        </w:tc>
        <w:tc>
          <w:tcPr>
            <w:tcW w:type="dxa" w:w="2160"/>
          </w:tcPr>
          <w:p>
            <w:r>
              <w:t>89,09%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12,80%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0,99%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3,32%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