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São Paulo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São Paulo possui 35.321 CAFs Pessoa Física ativos, equivalentes a 0,91% do total nacional. No PRONAF, o volume financeiro consolidado para a UF é R$ 308.450.209,85, equivalente a 2,10%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35.321</w:t>
            </w:r>
          </w:p>
        </w:tc>
        <w:tc>
          <w:tcPr>
            <w:tcW w:type="dxa" w:w="2160"/>
          </w:tcPr>
          <w:p>
            <w:r>
              <w:t>0,91%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33.325</w:t>
            </w:r>
          </w:p>
        </w:tc>
        <w:tc>
          <w:tcPr>
            <w:tcW w:type="dxa" w:w="2160"/>
          </w:tcPr>
          <w:p>
            <w:r>
              <w:t>0,94%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37.493</w:t>
            </w:r>
          </w:p>
        </w:tc>
        <w:tc>
          <w:tcPr>
            <w:tcW w:type="dxa" w:w="2160"/>
          </w:tcPr>
          <w:p>
            <w:r>
              <w:t>1,07%</w:t>
            </w:r>
          </w:p>
        </w:tc>
      </w:tr>
    </w:tbl>
    <w:p>
      <w:r>
        <w:t>Avaliação da posição no ranking: SP está na 21ª posição entre 27 UFs, com participação de 0,91%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4.077</w:t>
            </w:r>
          </w:p>
        </w:tc>
        <w:tc>
          <w:tcPr>
            <w:tcW w:type="dxa" w:w="2160"/>
          </w:tcPr>
          <w:p>
            <w:r>
              <w:t>0,85%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R$ 308.450.209,85</w:t>
            </w:r>
          </w:p>
        </w:tc>
        <w:tc>
          <w:tcPr>
            <w:tcW w:type="dxa" w:w="2160"/>
          </w:tcPr>
          <w:p>
            <w:r>
              <w:t>2,10%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4.077</w:t>
            </w:r>
          </w:p>
        </w:tc>
        <w:tc>
          <w:tcPr>
            <w:tcW w:type="dxa" w:w="2160"/>
          </w:tcPr>
          <w:p>
            <w:r>
              <w:t>0,85%</w:t>
            </w:r>
          </w:p>
        </w:tc>
      </w:tr>
    </w:tbl>
    <w:p>
      <w:r>
        <w:t>Avaliação da posição no ranking: SP está na 15ª posição entre 27 UFs, com participação de 2,10%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793</w:t>
            </w:r>
          </w:p>
        </w:tc>
        <w:tc>
          <w:tcPr>
            <w:tcW w:type="dxa" w:w="2160"/>
          </w:tcPr>
          <w:p>
            <w:r>
              <w:t>0,83%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R$ 98.517.513,12</w:t>
            </w:r>
          </w:p>
        </w:tc>
        <w:tc>
          <w:tcPr>
            <w:tcW w:type="dxa" w:w="2160"/>
          </w:tcPr>
          <w:p>
            <w:r>
              <w:t>2,79%</w:t>
            </w:r>
          </w:p>
        </w:tc>
      </w:tr>
    </w:tbl>
    <w:p>
      <w:r>
        <w:t>Avaliação da posição no ranking: SP está na 7ª posição entre 27 UFs, com participação de 2,79%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15,18%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1.311</w:t>
            </w:r>
          </w:p>
        </w:tc>
        <w:tc>
          <w:tcPr>
            <w:tcW w:type="dxa" w:w="2160"/>
          </w:tcPr>
          <w:p>
            <w:r>
              <w:t>7,78%</w:t>
            </w:r>
          </w:p>
        </w:tc>
      </w:tr>
    </w:tbl>
    <w:p>
      <w:r>
        <w:t>Avaliação da posição no ranking: SP está na 3ª posição entre 27 UFs, com participação de 7,78%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SP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6,95%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R$ 8.495.877,30</w:t>
            </w:r>
          </w:p>
        </w:tc>
        <w:tc>
          <w:tcPr>
            <w:tcW w:type="dxa" w:w="2160"/>
          </w:tcPr>
          <w:p>
            <w:r>
              <w:t>8,17%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R$ 292.961,29</w:t>
            </w:r>
          </w:p>
        </w:tc>
        <w:tc>
          <w:tcPr>
            <w:tcW w:type="dxa" w:w="2160"/>
          </w:tcPr>
          <w:p>
            <w:r>
              <w:t>117,44%</w:t>
            </w:r>
          </w:p>
        </w:tc>
      </w:tr>
    </w:tbl>
    <w:p>
      <w:r>
        <w:t>Avaliação da posição no ranking: SP está na 5ª posição entre 27 UFs, com participação de 8,17%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São Paulo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1,60%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0,27%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0,49%</w:t>
            </w:r>
          </w:p>
        </w:tc>
      </w:tr>
    </w:tbl>
    <w:p>
      <w:r>
        <w:t>Avaliação da posição no ranking: SP está na 20ª posição entre 27 UFs, com participação de 0,49%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