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Tocantins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Tocantins possui 35.588 CAFs Pessoa Física ativos, equivalentes a 0,91% do total nacional. No PRONAF, o volume financeiro consolidado para a UF é R$ 166.480.622,78, equivalente a 1,13%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35.588</w:t>
            </w:r>
          </w:p>
        </w:tc>
        <w:tc>
          <w:tcPr>
            <w:tcW w:type="dxa" w:w="2160"/>
          </w:tcPr>
          <w:p>
            <w:r>
              <w:t>0,91%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0,80%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28.834</w:t>
            </w:r>
          </w:p>
        </w:tc>
        <w:tc>
          <w:tcPr>
            <w:tcW w:type="dxa" w:w="2160"/>
          </w:tcPr>
          <w:p>
            <w:r>
              <w:t>0,82%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32.060</w:t>
            </w:r>
          </w:p>
        </w:tc>
        <w:tc>
          <w:tcPr>
            <w:tcW w:type="dxa" w:w="2160"/>
          </w:tcPr>
          <w:p>
            <w:r>
              <w:t>0,91%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3.793</w:t>
            </w:r>
          </w:p>
        </w:tc>
        <w:tc>
          <w:tcPr>
            <w:tcW w:type="dxa" w:w="2160"/>
          </w:tcPr>
          <w:p>
            <w:r>
              <w:t>0,79%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R$ 166.480.622,78</w:t>
            </w:r>
          </w:p>
        </w:tc>
        <w:tc>
          <w:tcPr>
            <w:tcW w:type="dxa" w:w="2160"/>
          </w:tcPr>
          <w:p>
            <w:r>
              <w:t>1,13%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3.793</w:t>
            </w:r>
          </w:p>
        </w:tc>
        <w:tc>
          <w:tcPr>
            <w:tcW w:type="dxa" w:w="2160"/>
          </w:tcPr>
          <w:p>
            <w:r>
              <w:t>0,79%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0,58%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R$ 10.447.621,62</w:t>
            </w:r>
          </w:p>
        </w:tc>
        <w:tc>
          <w:tcPr>
            <w:tcW w:type="dxa" w:w="2160"/>
          </w:tcPr>
          <w:p>
            <w:r>
              <w:t>0,30%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1,47%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11,51%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R$ 13.469.965,88</w:t>
            </w:r>
          </w:p>
        </w:tc>
        <w:tc>
          <w:tcPr>
            <w:tcW w:type="dxa" w:w="2160"/>
          </w:tcPr>
          <w:p>
            <w:r>
              <w:t>12,95%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R$ 280.624,29</w:t>
            </w:r>
          </w:p>
        </w:tc>
        <w:tc>
          <w:tcPr>
            <w:tcW w:type="dxa" w:w="2160"/>
          </w:tcPr>
          <w:p>
            <w:r>
              <w:t>112,49%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4,75%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2,47%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