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Tocantins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Tocantins possui 35.588 CAFs Pessoa Física ativos, equivalentes a 0,91% do total nacional. No PRONAF, o volume financeiro consolidado para a UF é R$ 166.480.622,78, equivalente a 1,13%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35.588</w:t>
            </w:r>
          </w:p>
        </w:tc>
        <w:tc>
          <w:tcPr>
            <w:tcW w:type="dxa" w:w="2160"/>
          </w:tcPr>
          <w:p>
            <w:r>
              <w:t>0,91%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0,80%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28.834</w:t>
            </w:r>
          </w:p>
        </w:tc>
        <w:tc>
          <w:tcPr>
            <w:tcW w:type="dxa" w:w="2160"/>
          </w:tcPr>
          <w:p>
            <w:r>
              <w:t>0,82%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32.060</w:t>
            </w:r>
          </w:p>
        </w:tc>
        <w:tc>
          <w:tcPr>
            <w:tcW w:type="dxa" w:w="2160"/>
          </w:tcPr>
          <w:p>
            <w:r>
              <w:t>0,91%</w:t>
            </w:r>
          </w:p>
        </w:tc>
      </w:tr>
    </w:tbl>
    <w:p>
      <w:r>
        <w:t>Avaliação da posição no ranking: TO está na 20ª posição entre 27 UFs, com participação de 0,91%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3.793</w:t>
            </w:r>
          </w:p>
        </w:tc>
        <w:tc>
          <w:tcPr>
            <w:tcW w:type="dxa" w:w="2160"/>
          </w:tcPr>
          <w:p>
            <w:r>
              <w:t>0,79%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R$ 166.480.622,78</w:t>
            </w:r>
          </w:p>
        </w:tc>
        <w:tc>
          <w:tcPr>
            <w:tcW w:type="dxa" w:w="2160"/>
          </w:tcPr>
          <w:p>
            <w:r>
              <w:t>1,13%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3.793</w:t>
            </w:r>
          </w:p>
        </w:tc>
        <w:tc>
          <w:tcPr>
            <w:tcW w:type="dxa" w:w="2160"/>
          </w:tcPr>
          <w:p>
            <w:r>
              <w:t>0,79%</w:t>
            </w:r>
          </w:p>
        </w:tc>
      </w:tr>
    </w:tbl>
    <w:p>
      <w:r>
        <w:t>Avaliação da posição no ranking: TO está na 19ª posição entre 27 UFs, com participação de 1,13%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0,58%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R$ 10.447.621,62</w:t>
            </w:r>
          </w:p>
        </w:tc>
        <w:tc>
          <w:tcPr>
            <w:tcW w:type="dxa" w:w="2160"/>
          </w:tcPr>
          <w:p>
            <w:r>
              <w:t>0,30%</w:t>
            </w:r>
          </w:p>
        </w:tc>
      </w:tr>
    </w:tbl>
    <w:p>
      <w:r>
        <w:t>Avaliação da posição no ranking: TO está na 25ª posição entre 27 UFs, com participação de 0,30%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1,47%</w:t>
            </w:r>
          </w:p>
        </w:tc>
      </w:tr>
    </w:tbl>
    <w:p>
      <w:r>
        <w:t>Avaliação da posição no ranking: TO está na 20ª posição entre 27 UFs, com participação de 1,47%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TO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11,51%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R$ 13.469.965,88</w:t>
            </w:r>
          </w:p>
        </w:tc>
        <w:tc>
          <w:tcPr>
            <w:tcW w:type="dxa" w:w="2160"/>
          </w:tcPr>
          <w:p>
            <w:r>
              <w:t>12,95%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R$ 280.624,29</w:t>
            </w:r>
          </w:p>
        </w:tc>
        <w:tc>
          <w:tcPr>
            <w:tcW w:type="dxa" w:w="2160"/>
          </w:tcPr>
          <w:p>
            <w:r>
              <w:t>112,49%</w:t>
            </w:r>
          </w:p>
        </w:tc>
      </w:tr>
    </w:tbl>
    <w:p>
      <w:r>
        <w:t>Avaliação da posição no ranking: TO está na 2ª posição entre 27 UFs, com participação de 12,95%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Tocantins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4,75%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2,47%</w:t>
            </w:r>
          </w:p>
        </w:tc>
      </w:tr>
    </w:tbl>
    <w:p>
      <w:r>
        <w:t>Avaliação da posição no ranking: TO está na 9ª posição entre 27 UFs, com participação de 2,47%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