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de Dados Teste: MG</w:t>
      </w:r>
    </w:p>
    <w:p>
      <w:r>
        <w:t>Gerado em: 24/04/2026 19:32</w:t>
      </w:r>
    </w:p>
    <w:p>
      <w:r>
        <w:t>Documento preliminar gerado a partir das bases de políticas públicas disponíveis no repositório de dados.</w:t>
      </w:r>
    </w:p>
    <w:p>
      <w:pPr>
        <w:pStyle w:val="Heading1"/>
      </w:pPr>
      <w:r>
        <w:t>1. Bases processadas</w:t>
      </w:r>
    </w:p>
    <w:p>
      <w:r>
        <w:t>Resumo das bases carregadas e tratadas antes da geração dos indicadores.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Política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Linhas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Colunas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UFs</w:t>
            </w:r>
          </w:p>
        </w:tc>
      </w:tr>
      <w:tr>
        <w:tc>
          <w:tcPr>
            <w:tcW w:type="dxa" w:w="2160"/>
          </w:tcPr>
          <w:p>
            <w:r>
              <w:t>CAF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PRONAF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Mais Alimentos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>
              <w:t>ATER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Garantia-Safra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PNCF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PNRA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</w:tbl>
    <w:p>
      <w:pPr>
        <w:pStyle w:val="Heading1"/>
      </w:pPr>
      <w:r>
        <w:t>2. Indicadores de políticas públicas (MG x Brasil)</w:t>
      </w:r>
    </w:p>
    <w:p>
      <w:r>
        <w:t>Valores consolidados para a UF selecionada, comparados com o total Brasil das bases disponíveis.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Política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UF/BR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CAF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CAFs Pessoa Física ativos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266.478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3.898.268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6,84%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CAFs Pessoa Jurídica ativos</w:t>
            </w:r>
          </w:p>
        </w:tc>
        <w:tc>
          <w:tcPr>
            <w:tcW w:type="dxa" w:w="1728"/>
          </w:tcPr>
          <w:p>
            <w:r>
              <w:t>681</w:t>
            </w:r>
          </w:p>
        </w:tc>
        <w:tc>
          <w:tcPr>
            <w:tcW w:type="dxa" w:w="1728"/>
          </w:tcPr>
          <w:p>
            <w:r>
              <w:t>9.161</w:t>
            </w:r>
          </w:p>
        </w:tc>
        <w:tc>
          <w:tcPr>
            <w:tcW w:type="dxa" w:w="1728"/>
          </w:tcPr>
          <w:p>
            <w:r>
              <w:t>7,43%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Mulheres em CAF ativo</w:t>
            </w:r>
          </w:p>
        </w:tc>
        <w:tc>
          <w:tcPr>
            <w:tcW w:type="dxa" w:w="1728"/>
          </w:tcPr>
          <w:p>
            <w:r>
              <w:t>252.645</w:t>
            </w:r>
          </w:p>
        </w:tc>
        <w:tc>
          <w:tcPr>
            <w:tcW w:type="dxa" w:w="1728"/>
          </w:tcPr>
          <w:p>
            <w:r>
              <w:t>3.529.596</w:t>
            </w:r>
          </w:p>
        </w:tc>
        <w:tc>
          <w:tcPr>
            <w:tcW w:type="dxa" w:w="1728"/>
          </w:tcPr>
          <w:p>
            <w:r>
              <w:t>7,16%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Homens em CAF ativo</w:t>
            </w:r>
          </w:p>
        </w:tc>
        <w:tc>
          <w:tcPr>
            <w:tcW w:type="dxa" w:w="1728"/>
          </w:tcPr>
          <w:p>
            <w:r>
              <w:t>276.706</w:t>
            </w:r>
          </w:p>
        </w:tc>
        <w:tc>
          <w:tcPr>
            <w:tcW w:type="dxa" w:w="1728"/>
          </w:tcPr>
          <w:p>
            <w:r>
              <w:t>3.519.584</w:t>
            </w:r>
          </w:p>
        </w:tc>
        <w:tc>
          <w:tcPr>
            <w:tcW w:type="dxa" w:w="1728"/>
          </w:tcPr>
          <w:p>
            <w:r>
              <w:t>7,86%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PRONAF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Contratos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44.848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482.017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9,30%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Valor total dos contratos</w:t>
            </w:r>
          </w:p>
        </w:tc>
        <w:tc>
          <w:tcPr>
            <w:tcW w:type="dxa" w:w="1728"/>
          </w:tcPr>
          <w:p>
            <w:r>
              <w:t>R$ 1.604.294.782,57</w:t>
            </w:r>
          </w:p>
        </w:tc>
        <w:tc>
          <w:tcPr>
            <w:tcW w:type="dxa" w:w="1728"/>
          </w:tcPr>
          <w:p>
            <w:r>
              <w:t>R$ 14.671.081.816,64</w:t>
            </w:r>
          </w:p>
        </w:tc>
        <w:tc>
          <w:tcPr>
            <w:tcW w:type="dxa" w:w="1728"/>
          </w:tcPr>
          <w:p>
            <w:r>
              <w:t>10,94%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Operações</w:t>
            </w:r>
          </w:p>
        </w:tc>
        <w:tc>
          <w:tcPr>
            <w:tcW w:type="dxa" w:w="1728"/>
          </w:tcPr>
          <w:p>
            <w:r>
              <w:t>44.848</w:t>
            </w:r>
          </w:p>
        </w:tc>
        <w:tc>
          <w:tcPr>
            <w:tcW w:type="dxa" w:w="1728"/>
          </w:tcPr>
          <w:p>
            <w:r>
              <w:t>482.017</w:t>
            </w:r>
          </w:p>
        </w:tc>
        <w:tc>
          <w:tcPr>
            <w:tcW w:type="dxa" w:w="1728"/>
          </w:tcPr>
          <w:p>
            <w:r>
              <w:t>9,30%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Mais Alimentos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Contratos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9.036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190.710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4,74%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Valor total dos contratos</w:t>
            </w:r>
          </w:p>
        </w:tc>
        <w:tc>
          <w:tcPr>
            <w:tcW w:type="dxa" w:w="1728"/>
          </w:tcPr>
          <w:p>
            <w:r>
              <w:t>R$ 415.882.383,26</w:t>
            </w:r>
          </w:p>
        </w:tc>
        <w:tc>
          <w:tcPr>
            <w:tcW w:type="dxa" w:w="1728"/>
          </w:tcPr>
          <w:p>
            <w:r>
              <w:t>R$ 7.066.668.967,88</w:t>
            </w:r>
          </w:p>
        </w:tc>
        <w:tc>
          <w:tcPr>
            <w:tcW w:type="dxa" w:w="1728"/>
          </w:tcPr>
          <w:p>
            <w:r>
              <w:t>5,89%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ATER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Famílias com ATER iniciada no ano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580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5.785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10,03%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Famílias com ATER recebida no ano</w:t>
            </w:r>
          </w:p>
        </w:tc>
        <w:tc>
          <w:tcPr>
            <w:tcW w:type="dxa" w:w="1728"/>
          </w:tcPr>
          <w:p>
            <w:r>
              <w:t>1.530</w:t>
            </w:r>
          </w:p>
        </w:tc>
        <w:tc>
          <w:tcPr>
            <w:tcW w:type="dxa" w:w="1728"/>
          </w:tcPr>
          <w:p>
            <w:r>
              <w:t>16.855</w:t>
            </w:r>
          </w:p>
        </w:tc>
        <w:tc>
          <w:tcPr>
            <w:tcW w:type="dxa" w:w="1728"/>
          </w:tcPr>
          <w:p>
            <w:r>
              <w:t>9,08%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Garantia-Safra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Agricultores aderidos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41.649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900.332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4,63%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Agricultores com pagamento liberado</w:t>
            </w:r>
          </w:p>
        </w:tc>
        <w:tc>
          <w:tcPr>
            <w:tcW w:type="dxa" w:w="1728"/>
          </w:tcPr>
          <w:p>
            <w:r>
              <w:t>37.207</w:t>
            </w:r>
          </w:p>
        </w:tc>
        <w:tc>
          <w:tcPr>
            <w:tcW w:type="dxa" w:w="1728"/>
          </w:tcPr>
          <w:p>
            <w:r>
              <w:t>833.621</w:t>
            </w:r>
          </w:p>
        </w:tc>
        <w:tc>
          <w:tcPr>
            <w:tcW w:type="dxa" w:w="1728"/>
          </w:tcPr>
          <w:p>
            <w:r>
              <w:t>4,46%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PNCF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Operações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417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6,00%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Valor liberado</w:t>
            </w:r>
          </w:p>
        </w:tc>
        <w:tc>
          <w:tcPr>
            <w:tcW w:type="dxa" w:w="1728"/>
          </w:tcPr>
          <w:p>
            <w:r>
              <w:t>R$ 6.609.340,83</w:t>
            </w:r>
          </w:p>
        </w:tc>
        <w:tc>
          <w:tcPr>
            <w:tcW w:type="dxa" w:w="1728"/>
          </w:tcPr>
          <w:p>
            <w:r>
              <w:t>R$ 104.024.293,61</w:t>
            </w:r>
          </w:p>
        </w:tc>
        <w:tc>
          <w:tcPr>
            <w:tcW w:type="dxa" w:w="1728"/>
          </w:tcPr>
          <w:p>
            <w:r>
              <w:t>6,35%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Valor médio liberado por operação</w:t>
            </w:r>
          </w:p>
        </w:tc>
        <w:tc>
          <w:tcPr>
            <w:tcW w:type="dxa" w:w="1728"/>
          </w:tcPr>
          <w:p>
            <w:r>
              <w:t>R$ 264.373,63</w:t>
            </w:r>
          </w:p>
        </w:tc>
        <w:tc>
          <w:tcPr>
            <w:tcW w:type="dxa" w:w="1728"/>
          </w:tcPr>
          <w:p>
            <w:r>
              <w:t>R$ 249.458,74</w:t>
            </w:r>
          </w:p>
        </w:tc>
        <w:tc>
          <w:tcPr>
            <w:tcW w:type="dxa" w:w="1728"/>
          </w:tcPr>
          <w:p>
            <w:r>
              <w:t>105,98%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PNRA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Famílias em PA criado diferenciado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2.341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0,09%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Famílias em PA criado tradicional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92,50%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Famílias em reconhecimento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2.000</w:t>
            </w:r>
          </w:p>
        </w:tc>
        <w:tc>
          <w:tcPr>
            <w:tcW w:type="dxa" w:w="1728"/>
          </w:tcPr>
          <w:p>
            <w:r>
              <w:t>0,00%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Famílias em regularização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4.738</w:t>
            </w:r>
          </w:p>
        </w:tc>
        <w:tc>
          <w:tcPr>
            <w:tcW w:type="dxa" w:w="1728"/>
          </w:tcPr>
          <w:p>
            <w:r>
              <w:t>1,31%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Total de famílias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9.119</w:t>
            </w:r>
          </w:p>
        </w:tc>
        <w:tc>
          <w:tcPr>
            <w:tcW w:type="dxa" w:w="1728"/>
          </w:tcPr>
          <w:p>
            <w:r>
              <w:t>1,11%</w:t>
            </w:r>
          </w:p>
        </w:tc>
      </w:tr>
    </w:tbl>
    <w:p>
      <w:pPr>
        <w:pStyle w:val="Heading1"/>
      </w:pPr>
      <w:r>
        <w:t>3. Observações</w:t>
      </w:r>
    </w:p>
    <w:p>
      <w:r>
        <w:t>Os indicadores refletem os arquivos disponíveis na pasta de dados no momento da execução. Quando houver dado faltante, o texto padrão do relatório final será: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