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ind w:left="113"/>
        <w:shd w:fill="071D41"/>
      </w:pPr>
      <w:r>
        <w:rPr>
          <w:rFonts w:ascii="Arial" w:hAnsi="Arial" w:eastAsia="Arial"/>
          <w:b/>
          <w:i w:val="0"/>
          <w:color w:val="FFFFFF"/>
          <w:sz w:val="19"/>
        </w:rPr>
        <w:t>GOVERNO FEDERAL | Ministerio do Desenvolvimento Agrario e Agricultura Familiar</w:t>
      </w:r>
    </w:p>
    <w:p>
      <w:pPr>
        <w:spacing w:before="720" w:after="80"/>
      </w:pPr>
      <w:r>
        <w:rPr>
          <w:rFonts w:ascii="Arial" w:hAnsi="Arial" w:eastAsia="Arial"/>
          <w:b/>
          <w:i w:val="0"/>
          <w:color w:val="168821"/>
          <w:sz w:val="19"/>
        </w:rPr>
        <w:t>EXEMPLO FICTICIO</w:t>
      </w:r>
    </w:p>
    <w:p>
      <w:pPr>
        <w:pStyle w:val="Title"/>
        <w:spacing w:after="120"/>
      </w:pPr>
      <w:r>
        <w:rPr>
          <w:rFonts w:ascii="Arial" w:hAnsi="Arial" w:eastAsia="Arial"/>
          <w:b/>
          <w:i w:val="0"/>
          <w:color w:val="071D41"/>
          <w:sz w:val="54"/>
        </w:rPr>
        <w:t>Relatorio Estadual de Monitoramento</w:t>
      </w:r>
    </w:p>
    <w:p>
      <w:pPr>
        <w:spacing w:after="440"/>
      </w:pPr>
      <w:r>
        <w:rPr>
          <w:rFonts w:ascii="Arial" w:hAnsi="Arial" w:eastAsia="Arial"/>
          <w:b w:val="0"/>
          <w:i w:val="0"/>
          <w:color w:val="555555"/>
          <w:sz w:val="34"/>
        </w:rPr>
        <w:t>DAMEI | Minas Gerais</w:t>
      </w:r>
    </w:p>
    <w:p>
      <w:pPr>
        <w:spacing w:after="160"/>
        <w:ind w:left="113"/>
        <w:shd w:fill="F7F7F7"/>
      </w:pPr>
      <w:r>
        <w:rPr>
          <w:rFonts w:ascii="Arial" w:hAnsi="Arial" w:eastAsia="Arial"/>
          <w:b/>
          <w:i w:val="0"/>
          <w:color w:val="1B1B1B"/>
          <w:sz w:val="19"/>
        </w:rPr>
        <w:t>Periodo de referencia: Abril de 2026 | Data de geracao: 28/04/2026 | Versao: mockup visual v1</w:t>
      </w:r>
    </w:p>
    <w:p>
      <w:pPr>
        <w:spacing w:before="100" w:after="40"/>
        <w:ind w:left="142" w:right="85"/>
        <w:shd w:fill="EAF2FF"/>
        <w:pBdr>
          <w:left w:val="single" w:sz="14" w:space="5" w:color="1351B4"/>
        </w:pBdr>
      </w:pPr>
      <w:r>
        <w:rPr>
          <w:rFonts w:ascii="Arial" w:hAnsi="Arial" w:eastAsia="Arial"/>
          <w:b/>
          <w:i w:val="0"/>
          <w:color w:val="17324D"/>
          <w:sz w:val="18"/>
        </w:rPr>
        <w:t>Aviso de uso</w:t>
      </w:r>
    </w:p>
    <w:p>
      <w:pPr>
        <w:spacing w:after="40"/>
        <w:ind w:left="255" w:right="85"/>
        <w:shd w:fill="EAF2FF"/>
        <w:pBdr>
          <w:left w:val="single" w:sz="14" w:space="5" w:color="1351B4"/>
        </w:pBdr>
      </w:pPr>
      <w:r>
        <w:rPr>
          <w:rFonts w:ascii="Arial" w:hAnsi="Arial" w:eastAsia="Arial"/>
          <w:b w:val="0"/>
          <w:i w:val="0"/>
          <w:color w:val="17324D"/>
          <w:sz w:val="18"/>
        </w:rPr>
        <w:t>Este arquivo demonstra a aplicacao visual do DESIGN.md.</w:t>
      </w:r>
    </w:p>
    <w:p>
      <w:pPr>
        <w:spacing w:after="40"/>
        <w:ind w:left="255" w:right="85"/>
        <w:shd w:fill="EAF2FF"/>
        <w:pBdr>
          <w:left w:val="single" w:sz="14" w:space="5" w:color="1351B4"/>
        </w:pBdr>
      </w:pPr>
      <w:r>
        <w:rPr>
          <w:rFonts w:ascii="Arial" w:hAnsi="Arial" w:eastAsia="Arial"/>
          <w:b w:val="0"/>
          <w:i w:val="0"/>
          <w:color w:val="17324D"/>
          <w:sz w:val="18"/>
        </w:rPr>
        <w:t>Os numeros, fontes, datas e interpretacoes apresentados sao ficticios.</w:t>
      </w:r>
    </w:p>
    <w:p>
      <w:pPr>
        <w:spacing w:before="2400"/>
      </w:pPr>
      <w:r>
        <w:rPr>
          <w:rFonts w:ascii="Arial" w:hAnsi="Arial" w:eastAsia="Arial"/>
          <w:b w:val="0"/>
          <w:i w:val="0"/>
          <w:color w:val="555555"/>
          <w:sz w:val="16"/>
        </w:rPr>
        <w:t>Diretrizes aplicadas: Secom/PR, Design System GOV.BR, Manual de Redacao da Presidencia da Republica e acessibilidade.</w:t>
      </w:r>
    </w:p>
    <w:p>
      <w:r>
        <w:br w:type="page"/>
      </w:r>
    </w:p>
    <w:p>
      <w:pPr>
        <w:pStyle w:val="Heading1"/>
        <w:keepNext/>
        <w:spacing w:before="300" w:after="100"/>
      </w:pPr>
      <w:r>
        <w:rPr>
          <w:rFonts w:ascii="Arial" w:hAnsi="Arial" w:eastAsia="Arial"/>
          <w:b/>
          <w:i w:val="0"/>
          <w:color w:val="071D41"/>
          <w:sz w:val="31"/>
        </w:rPr>
        <w:t>Sumario Executivo</w:t>
      </w:r>
    </w:p>
    <w:p>
      <w:pPr>
        <w:pStyle w:val="BodyText"/>
        <w:spacing w:line="259" w:lineRule="auto" w:after="100"/>
      </w:pPr>
      <w:r>
        <w:rPr>
          <w:rFonts w:ascii="Arial" w:hAnsi="Arial" w:eastAsia="Arial"/>
          <w:b w:val="0"/>
          <w:i w:val="0"/>
          <w:color w:val="1B1B1B"/>
          <w:sz w:val="21"/>
        </w:rPr>
        <w:t>Minas Gerais apresenta, neste exemplo ficticio, participacao relevante nos principais indicadores de agricultura familiar, credito rural e assistencia tecnica. O texto foi construido apenas para validar hierarquia visual, espacamento, quadros informativos e linguagem institucional.</w:t>
      </w:r>
    </w:p>
    <w:p>
      <w:pPr>
        <w:pStyle w:val="BodyText"/>
        <w:spacing w:line="259" w:lineRule="auto" w:after="100"/>
      </w:pPr>
      <w:r>
        <w:rPr>
          <w:rFonts w:ascii="Arial" w:hAnsi="Arial" w:eastAsia="Arial"/>
          <w:b w:val="0"/>
          <w:i w:val="0"/>
          <w:color w:val="1B1B1B"/>
          <w:sz w:val="21"/>
        </w:rPr>
        <w:t>Lorem ipsum dolor sit amet, consectetur adipiscing elit. Integer vitae nibh in lorem dignissim dictum. Donec gravida, lectus nec facilisis porttitor, massa lacus consequat risus, sed porta arcu neque vitae ipsum.</w:t>
      </w:r>
    </w:p>
    <w:p>
      <w:pPr>
        <w:pStyle w:val="Heading2"/>
        <w:keepNext/>
        <w:spacing w:before="180" w:after="100"/>
      </w:pPr>
      <w:r>
        <w:rPr>
          <w:rFonts w:ascii="Arial" w:hAnsi="Arial" w:eastAsia="Arial"/>
          <w:b/>
          <w:i w:val="0"/>
          <w:color w:val="1351B4"/>
          <w:sz w:val="25"/>
        </w:rPr>
        <w:t>Indicadores em destaque</w:t>
      </w:r>
    </w:p>
    <w:p>
      <w:pPr>
        <w:spacing w:after="60"/>
        <w:ind w:left="142"/>
        <w:shd w:fill="F7F7F7"/>
      </w:pPr>
      <w:r>
        <w:rPr>
          <w:rFonts w:ascii="Arial" w:hAnsi="Arial" w:eastAsia="Arial"/>
          <w:b/>
          <w:i w:val="0"/>
          <w:color w:val="555555"/>
          <w:sz w:val="18"/>
        </w:rPr>
        <w:t xml:space="preserve">CAFs PF ativos: </w:t>
      </w:r>
      <w:r>
        <w:rPr>
          <w:rFonts w:ascii="Arial" w:hAnsi="Arial" w:eastAsia="Arial"/>
          <w:b/>
          <w:i w:val="0"/>
          <w:color w:val="071D41"/>
          <w:sz w:val="27"/>
        </w:rPr>
        <w:t>123.456</w:t>
      </w:r>
      <w:r>
        <w:rPr>
          <w:rFonts w:ascii="Arial" w:hAnsi="Arial" w:eastAsia="Arial"/>
          <w:b w:val="0"/>
          <w:i w:val="0"/>
          <w:color w:val="555555"/>
          <w:sz w:val="18"/>
        </w:rPr>
        <w:t xml:space="preserve"> | 4,2% do Brasil</w:t>
      </w:r>
    </w:p>
    <w:p>
      <w:pPr>
        <w:spacing w:after="60"/>
        <w:ind w:left="142"/>
        <w:shd w:fill="F7F7F7"/>
      </w:pPr>
      <w:r>
        <w:rPr>
          <w:rFonts w:ascii="Arial" w:hAnsi="Arial" w:eastAsia="Arial"/>
          <w:b/>
          <w:i w:val="0"/>
          <w:color w:val="555555"/>
          <w:sz w:val="18"/>
        </w:rPr>
        <w:t xml:space="preserve">PRONAF: </w:t>
      </w:r>
      <w:r>
        <w:rPr>
          <w:rFonts w:ascii="Arial" w:hAnsi="Arial" w:eastAsia="Arial"/>
          <w:b/>
          <w:i w:val="0"/>
          <w:color w:val="071D41"/>
          <w:sz w:val="27"/>
        </w:rPr>
        <w:t>R$ 1,8 bi</w:t>
      </w:r>
      <w:r>
        <w:rPr>
          <w:rFonts w:ascii="Arial" w:hAnsi="Arial" w:eastAsia="Arial"/>
          <w:b w:val="0"/>
          <w:i w:val="0"/>
          <w:color w:val="555555"/>
          <w:sz w:val="18"/>
        </w:rPr>
        <w:t xml:space="preserve"> | volume financeiro ficticio</w:t>
      </w:r>
    </w:p>
    <w:p>
      <w:pPr>
        <w:spacing w:after="60"/>
        <w:ind w:left="142"/>
        <w:shd w:fill="F7F7F7"/>
      </w:pPr>
      <w:r>
        <w:rPr>
          <w:rFonts w:ascii="Arial" w:hAnsi="Arial" w:eastAsia="Arial"/>
          <w:b/>
          <w:i w:val="0"/>
          <w:color w:val="555555"/>
          <w:sz w:val="18"/>
        </w:rPr>
        <w:t xml:space="preserve">Familias assentadas: </w:t>
      </w:r>
      <w:r>
        <w:rPr>
          <w:rFonts w:ascii="Arial" w:hAnsi="Arial" w:eastAsia="Arial"/>
          <w:b/>
          <w:i w:val="0"/>
          <w:color w:val="071D41"/>
          <w:sz w:val="27"/>
        </w:rPr>
        <w:t>18.240</w:t>
      </w:r>
      <w:r>
        <w:rPr>
          <w:rFonts w:ascii="Arial" w:hAnsi="Arial" w:eastAsia="Arial"/>
          <w:b w:val="0"/>
          <w:i w:val="0"/>
          <w:color w:val="555555"/>
          <w:sz w:val="18"/>
        </w:rPr>
        <w:t xml:space="preserve"> | base demonstrativa</w:t>
      </w:r>
    </w:p>
    <w:p>
      <w:pPr>
        <w:spacing w:after="60"/>
        <w:ind w:left="142"/>
        <w:shd w:fill="F7F7F7"/>
      </w:pPr>
      <w:r>
        <w:rPr>
          <w:rFonts w:ascii="Arial" w:hAnsi="Arial" w:eastAsia="Arial"/>
          <w:b/>
          <w:i w:val="0"/>
          <w:color w:val="555555"/>
          <w:sz w:val="18"/>
        </w:rPr>
        <w:t xml:space="preserve">Beneficiarios ATER: </w:t>
      </w:r>
      <w:r>
        <w:rPr>
          <w:rFonts w:ascii="Arial" w:hAnsi="Arial" w:eastAsia="Arial"/>
          <w:b/>
          <w:i w:val="0"/>
          <w:color w:val="071D41"/>
          <w:sz w:val="27"/>
        </w:rPr>
        <w:t>42.100</w:t>
      </w:r>
      <w:r>
        <w:rPr>
          <w:rFonts w:ascii="Arial" w:hAnsi="Arial" w:eastAsia="Arial"/>
          <w:b w:val="0"/>
          <w:i w:val="0"/>
          <w:color w:val="555555"/>
          <w:sz w:val="18"/>
        </w:rPr>
        <w:t xml:space="preserve"> | ano ficticio</w:t>
      </w:r>
    </w:p>
    <w:p>
      <w:pPr>
        <w:spacing w:before="100" w:after="40"/>
        <w:ind w:left="142" w:right="85"/>
        <w:shd w:fill="EAF2FF"/>
        <w:pBdr>
          <w:left w:val="single" w:sz="14" w:space="5" w:color="1351B4"/>
        </w:pBdr>
      </w:pPr>
      <w:r>
        <w:rPr>
          <w:rFonts w:ascii="Arial" w:hAnsi="Arial" w:eastAsia="Arial"/>
          <w:b/>
          <w:i w:val="0"/>
          <w:color w:val="17324D"/>
          <w:sz w:val="18"/>
        </w:rPr>
        <w:t>Nota de leitura</w:t>
      </w:r>
    </w:p>
    <w:p>
      <w:pPr>
        <w:spacing w:after="40"/>
        <w:ind w:left="255" w:right="85"/>
        <w:shd w:fill="EAF2FF"/>
        <w:pBdr>
          <w:left w:val="single" w:sz="14" w:space="5" w:color="1351B4"/>
        </w:pBdr>
      </w:pPr>
      <w:r>
        <w:rPr>
          <w:rFonts w:ascii="Arial" w:hAnsi="Arial" w:eastAsia="Arial"/>
          <w:b w:val="0"/>
          <w:i w:val="0"/>
          <w:color w:val="17324D"/>
          <w:sz w:val="18"/>
        </w:rPr>
        <w:t>O sumario executivo deve ser curto, orientado a decisao e apoiado por indicadores rastreaveis nas secoes seguintes.</w:t>
      </w:r>
    </w:p>
    <w:p>
      <w:pPr>
        <w:spacing w:after="40"/>
        <w:ind w:left="255" w:right="85"/>
        <w:shd w:fill="EAF2FF"/>
        <w:pBdr>
          <w:left w:val="single" w:sz="14" w:space="5" w:color="1351B4"/>
        </w:pBdr>
      </w:pPr>
      <w:r>
        <w:rPr>
          <w:rFonts w:ascii="Arial" w:hAnsi="Arial" w:eastAsia="Arial"/>
          <w:b w:val="0"/>
          <w:i w:val="0"/>
          <w:color w:val="17324D"/>
          <w:sz w:val="18"/>
        </w:rPr>
        <w:t>Este mockup demonstra a aparencia desejada; nao representa dado oficial.</w:t>
      </w:r>
    </w:p>
    <w:p>
      <w:pPr>
        <w:pStyle w:val="Heading1"/>
        <w:keepNext/>
        <w:spacing w:before="300" w:after="100"/>
      </w:pPr>
      <w:r>
        <w:rPr>
          <w:rFonts w:ascii="Arial" w:hAnsi="Arial" w:eastAsia="Arial"/>
          <w:b/>
          <w:i w:val="0"/>
          <w:color w:val="071D41"/>
          <w:sz w:val="31"/>
        </w:rPr>
        <w:t>1. CAF - Cadastro da Agricultura Familiar</w:t>
      </w:r>
    </w:p>
    <w:p>
      <w:pPr>
        <w:pStyle w:val="BodyText"/>
        <w:spacing w:line="259" w:lineRule="auto" w:after="100"/>
      </w:pPr>
      <w:r>
        <w:rPr>
          <w:rFonts w:ascii="Arial" w:hAnsi="Arial" w:eastAsia="Arial"/>
          <w:b w:val="0"/>
          <w:i w:val="0"/>
          <w:color w:val="1B1B1B"/>
          <w:sz w:val="21"/>
        </w:rPr>
        <w:t>Esta secao apresenta indicadores ficticios de CAF Pessoa Fisica, CAF Pessoa Juridica e distribuicao por genero. Lorem ipsum dolor sit amet, consectetur adipiscing elit. Praesent vitae justo vitae est pulvinar consequat. Aenean non risus at neque varius cursus.</w:t>
      </w:r>
    </w:p>
    <w:p>
      <w:pPr>
        <w:pStyle w:val="Heading2"/>
        <w:keepNext/>
        <w:spacing w:before="180" w:after="100"/>
      </w:pPr>
      <w:r>
        <w:rPr>
          <w:rFonts w:ascii="Arial" w:hAnsi="Arial" w:eastAsia="Arial"/>
          <w:b/>
          <w:i w:val="0"/>
          <w:color w:val="1351B4"/>
          <w:sz w:val="25"/>
        </w:rPr>
        <w:t>Quadro de indicadores</w:t>
      </w:r>
    </w:p>
    <w:p>
      <w:pPr>
        <w:spacing w:after="60"/>
        <w:ind w:left="142"/>
        <w:shd w:fill="071D41"/>
      </w:pPr>
      <w:r>
        <w:rPr>
          <w:rFonts w:ascii="Arial" w:hAnsi="Arial" w:eastAsia="Arial"/>
          <w:b/>
          <w:i w:val="0"/>
          <w:color w:val="FFFFFF"/>
          <w:sz w:val="18"/>
        </w:rPr>
        <w:t>Indicador | Brasil | Minas Gerais | Percentual nacional</w:t>
      </w:r>
    </w:p>
    <w:p>
      <w:pPr>
        <w:spacing w:after="40"/>
        <w:ind w:left="142"/>
      </w:pPr>
      <w:r>
        <w:rPr>
          <w:rFonts w:ascii="Arial" w:hAnsi="Arial" w:eastAsia="Arial"/>
          <w:b/>
          <w:i w:val="0"/>
          <w:color w:val="1B1B1B"/>
          <w:sz w:val="18"/>
        </w:rPr>
        <w:t>CAFs Pessoa Fisica ativos</w:t>
      </w:r>
    </w:p>
    <w:p>
      <w:pPr>
        <w:spacing w:after="80"/>
        <w:ind w:left="312"/>
      </w:pPr>
      <w:r>
        <w:rPr>
          <w:rFonts w:ascii="Arial" w:hAnsi="Arial" w:eastAsia="Arial"/>
          <w:b w:val="0"/>
          <w:i w:val="0"/>
          <w:color w:val="555555"/>
          <w:sz w:val="18"/>
        </w:rPr>
        <w:t>Brasil: 2.934.120    Minas Gerais: 123.456    Percentual: 4,2%</w:t>
      </w:r>
    </w:p>
    <w:p>
      <w:pPr>
        <w:spacing w:after="40"/>
        <w:ind w:left="142"/>
        <w:shd w:fill="F7F7F7"/>
      </w:pPr>
      <w:r>
        <w:rPr>
          <w:rFonts w:ascii="Arial" w:hAnsi="Arial" w:eastAsia="Arial"/>
          <w:b/>
          <w:i w:val="0"/>
          <w:color w:val="1B1B1B"/>
          <w:sz w:val="18"/>
        </w:rPr>
        <w:t>CAFs Pessoa Juridica ativos</w:t>
      </w:r>
    </w:p>
    <w:p>
      <w:pPr>
        <w:spacing w:after="80"/>
        <w:ind w:left="312"/>
        <w:shd w:fill="F7F7F7"/>
      </w:pPr>
      <w:r>
        <w:rPr>
          <w:rFonts w:ascii="Arial" w:hAnsi="Arial" w:eastAsia="Arial"/>
          <w:b w:val="0"/>
          <w:i w:val="0"/>
          <w:color w:val="555555"/>
          <w:sz w:val="18"/>
        </w:rPr>
        <w:t>Brasil: 41.320    Minas Gerais: 1.830    Percentual: 4,4%</w:t>
      </w:r>
    </w:p>
    <w:p>
      <w:pPr>
        <w:spacing w:after="40"/>
        <w:ind w:left="142"/>
      </w:pPr>
      <w:r>
        <w:rPr>
          <w:rFonts w:ascii="Arial" w:hAnsi="Arial" w:eastAsia="Arial"/>
          <w:b/>
          <w:i w:val="0"/>
          <w:color w:val="1B1B1B"/>
          <w:sz w:val="18"/>
        </w:rPr>
        <w:t>Mulheres em CAF ativo</w:t>
      </w:r>
    </w:p>
    <w:p>
      <w:pPr>
        <w:spacing w:after="80"/>
        <w:ind w:left="312"/>
      </w:pPr>
      <w:r>
        <w:rPr>
          <w:rFonts w:ascii="Arial" w:hAnsi="Arial" w:eastAsia="Arial"/>
          <w:b w:val="0"/>
          <w:i w:val="0"/>
          <w:color w:val="555555"/>
          <w:sz w:val="18"/>
        </w:rPr>
        <w:t>Brasil: 1.402.550    Minas Gerais: 61.220    Percentual: 4,4%</w:t>
      </w:r>
    </w:p>
    <w:p>
      <w:pPr>
        <w:spacing w:after="40"/>
        <w:ind w:left="142"/>
        <w:shd w:fill="F7F7F7"/>
      </w:pPr>
      <w:r>
        <w:rPr>
          <w:rFonts w:ascii="Arial" w:hAnsi="Arial" w:eastAsia="Arial"/>
          <w:b/>
          <w:i w:val="0"/>
          <w:color w:val="1B1B1B"/>
          <w:sz w:val="18"/>
        </w:rPr>
        <w:t>Homens em CAF ativo</w:t>
      </w:r>
    </w:p>
    <w:p>
      <w:pPr>
        <w:spacing w:after="80"/>
        <w:ind w:left="312"/>
        <w:shd w:fill="F7F7F7"/>
      </w:pPr>
      <w:r>
        <w:rPr>
          <w:rFonts w:ascii="Arial" w:hAnsi="Arial" w:eastAsia="Arial"/>
          <w:b w:val="0"/>
          <w:i w:val="0"/>
          <w:color w:val="555555"/>
          <w:sz w:val="18"/>
        </w:rPr>
        <w:t>Brasil: 1.510.770    Minas Gerais: 62.236    Percentual: 4,1%</w:t>
      </w:r>
    </w:p>
    <w:p>
      <w:pPr>
        <w:spacing w:before="100" w:after="40"/>
        <w:ind w:left="142" w:right="85"/>
        <w:shd w:fill="EAF2FF"/>
        <w:pBdr>
          <w:left w:val="single" w:sz="14" w:space="5" w:color="1351B4"/>
        </w:pBdr>
      </w:pPr>
      <w:r>
        <w:rPr>
          <w:rFonts w:ascii="Arial" w:hAnsi="Arial" w:eastAsia="Arial"/>
          <w:b/>
          <w:i w:val="0"/>
          <w:color w:val="17324D"/>
          <w:sz w:val="18"/>
        </w:rPr>
        <w:t>Avaliacao da posicao no ranking</w:t>
      </w:r>
    </w:p>
    <w:p>
      <w:pPr>
        <w:spacing w:after="40"/>
        <w:ind w:left="255" w:right="85"/>
        <w:shd w:fill="EAF2FF"/>
        <w:pBdr>
          <w:left w:val="single" w:sz="14" w:space="5" w:color="1351B4"/>
        </w:pBdr>
      </w:pPr>
      <w:r>
        <w:rPr>
          <w:rFonts w:ascii="Arial" w:hAnsi="Arial" w:eastAsia="Arial"/>
          <w:b w:val="0"/>
          <w:i w:val="0"/>
          <w:color w:val="17324D"/>
          <w:sz w:val="18"/>
        </w:rPr>
        <w:t>Minas Gerais esta na 3a posicao entre 27 UFs para o indicador de CAFs Pessoa Fisica ativos, com participacao ficticia de 4,2% no total nacional.</w:t>
      </w:r>
    </w:p>
    <w:p>
      <w:pPr>
        <w:spacing w:before="100" w:after="40"/>
        <w:ind w:left="142" w:right="85"/>
        <w:shd w:fill="EAF2FF"/>
        <w:pBdr>
          <w:left w:val="single" w:sz="14" w:space="5" w:color="1351B4"/>
        </w:pBdr>
      </w:pPr>
      <w:r>
        <w:rPr>
          <w:rFonts w:ascii="Arial" w:hAnsi="Arial" w:eastAsia="Arial"/>
          <w:b/>
          <w:i w:val="0"/>
          <w:color w:val="17324D"/>
          <w:sz w:val="18"/>
        </w:rPr>
        <w:t>Fonte e referencia</w:t>
      </w:r>
    </w:p>
    <w:p>
      <w:pPr>
        <w:spacing w:after="40"/>
        <w:ind w:left="255" w:right="85"/>
        <w:shd w:fill="EAF2FF"/>
        <w:pBdr>
          <w:left w:val="single" w:sz="14" w:space="5" w:color="1351B4"/>
        </w:pBdr>
      </w:pPr>
      <w:r>
        <w:rPr>
          <w:rFonts w:ascii="Arial" w:hAnsi="Arial" w:eastAsia="Arial"/>
          <w:b w:val="0"/>
          <w:i w:val="0"/>
          <w:color w:val="17324D"/>
          <w:sz w:val="18"/>
        </w:rPr>
        <w:t>Fonte: Base demonstrativa DAMEI. Referencia: 04/2026. Geracao da base: 28/04/2026.</w:t>
      </w:r>
    </w:p>
    <w:p>
      <w:pPr>
        <w:spacing w:before="100" w:after="40"/>
        <w:ind w:left="142" w:right="85"/>
        <w:shd w:fill="FFF4CC"/>
        <w:pBdr>
          <w:left w:val="single" w:sz="14" w:space="5" w:color="FFCD07"/>
        </w:pBdr>
      </w:pPr>
      <w:r>
        <w:rPr>
          <w:rFonts w:ascii="Arial" w:hAnsi="Arial" w:eastAsia="Arial"/>
          <w:b/>
          <w:i w:val="0"/>
          <w:color w:val="5C4100"/>
          <w:sz w:val="18"/>
        </w:rPr>
        <w:t>Lacunas em relacao ao documento padrao</w:t>
      </w:r>
    </w:p>
    <w:p>
      <w:pPr>
        <w:spacing w:after="40"/>
        <w:ind w:left="255" w:right="85"/>
        <w:shd w:fill="FFF4CC"/>
        <w:pBdr>
          <w:left w:val="single" w:sz="14" w:space="5" w:color="FFCD07"/>
        </w:pBdr>
      </w:pPr>
      <w:r>
        <w:rPr>
          <w:rFonts w:ascii="Arial" w:hAnsi="Arial" w:eastAsia="Arial"/>
          <w:b w:val="0"/>
          <w:i w:val="0"/>
          <w:color w:val="5C4100"/>
          <w:sz w:val="18"/>
        </w:rPr>
        <w:t>- Principais produtos da Agricultura Familiar no Estado. Informacao indisponivel nas bases atuais.</w:t>
      </w:r>
    </w:p>
    <w:p>
      <w:pPr>
        <w:spacing w:after="40"/>
        <w:ind w:left="255" w:right="85"/>
        <w:shd w:fill="FFF4CC"/>
        <w:pBdr>
          <w:left w:val="single" w:sz="14" w:space="5" w:color="FFCD07"/>
        </w:pBdr>
      </w:pPr>
      <w:r>
        <w:rPr>
          <w:rFonts w:ascii="Arial" w:hAnsi="Arial" w:eastAsia="Arial"/>
          <w:b w:val="0"/>
          <w:i w:val="0"/>
          <w:color w:val="5C4100"/>
          <w:sz w:val="18"/>
        </w:rPr>
        <w:t>- Valor total de producao por produto. Informacao indisponivel nas bases atuais.</w:t>
      </w:r>
    </w:p>
    <w:p>
      <w:pPr>
        <w:pStyle w:val="Heading1"/>
        <w:keepNext/>
        <w:spacing w:before="300" w:after="100"/>
      </w:pPr>
      <w:r>
        <w:rPr>
          <w:rFonts w:ascii="Arial" w:hAnsi="Arial" w:eastAsia="Arial"/>
          <w:b/>
          <w:i w:val="0"/>
          <w:color w:val="071D41"/>
          <w:sz w:val="31"/>
        </w:rPr>
        <w:t>2. PRONAF - Programa Nacional de Fortalecimento da Agricultura Familiar</w:t>
      </w:r>
    </w:p>
    <w:p>
      <w:pPr>
        <w:pStyle w:val="BodyText"/>
        <w:spacing w:line="259" w:lineRule="auto" w:after="100"/>
      </w:pPr>
      <w:r>
        <w:rPr>
          <w:rFonts w:ascii="Arial" w:hAnsi="Arial" w:eastAsia="Arial"/>
          <w:b w:val="0"/>
          <w:i w:val="0"/>
          <w:color w:val="1B1B1B"/>
          <w:sz w:val="21"/>
        </w:rPr>
        <w:t>Esta secao consolida, de forma ficticia, contratos e valores do PRONAF no ano corrente. Lorem ipsum dolor sit amet, consectetur adipiscing elit. Praesent vitae justo vitae est pulvinar consequat. Aenean non risus at neque varius cursus.</w:t>
      </w:r>
    </w:p>
    <w:p>
      <w:pPr>
        <w:pStyle w:val="Heading2"/>
        <w:keepNext/>
        <w:spacing w:before="180" w:after="100"/>
      </w:pPr>
      <w:r>
        <w:rPr>
          <w:rFonts w:ascii="Arial" w:hAnsi="Arial" w:eastAsia="Arial"/>
          <w:b/>
          <w:i w:val="0"/>
          <w:color w:val="1351B4"/>
          <w:sz w:val="25"/>
        </w:rPr>
        <w:t>Quadro de indicadores</w:t>
      </w:r>
    </w:p>
    <w:p>
      <w:pPr>
        <w:spacing w:after="60"/>
        <w:ind w:left="142"/>
        <w:shd w:fill="071D41"/>
      </w:pPr>
      <w:r>
        <w:rPr>
          <w:rFonts w:ascii="Arial" w:hAnsi="Arial" w:eastAsia="Arial"/>
          <w:b/>
          <w:i w:val="0"/>
          <w:color w:val="FFFFFF"/>
          <w:sz w:val="18"/>
        </w:rPr>
        <w:t>Indicador | Brasil | Minas Gerais | Percentual nacional</w:t>
      </w:r>
    </w:p>
    <w:p>
      <w:pPr>
        <w:spacing w:after="40"/>
        <w:ind w:left="142"/>
      </w:pPr>
      <w:r>
        <w:rPr>
          <w:rFonts w:ascii="Arial" w:hAnsi="Arial" w:eastAsia="Arial"/>
          <w:b/>
          <w:i w:val="0"/>
          <w:color w:val="1B1B1B"/>
          <w:sz w:val="18"/>
        </w:rPr>
        <w:t>Quantidade de contratos</w:t>
      </w:r>
    </w:p>
    <w:p>
      <w:pPr>
        <w:spacing w:after="80"/>
        <w:ind w:left="312"/>
      </w:pPr>
      <w:r>
        <w:rPr>
          <w:rFonts w:ascii="Arial" w:hAnsi="Arial" w:eastAsia="Arial"/>
          <w:b w:val="0"/>
          <w:i w:val="0"/>
          <w:color w:val="555555"/>
          <w:sz w:val="18"/>
        </w:rPr>
        <w:t>Brasil: 1.220.000    Minas Gerais: 58.420    Percentual: 4,8%</w:t>
      </w:r>
    </w:p>
    <w:p>
      <w:pPr>
        <w:spacing w:after="40"/>
        <w:ind w:left="142"/>
        <w:shd w:fill="F7F7F7"/>
      </w:pPr>
      <w:r>
        <w:rPr>
          <w:rFonts w:ascii="Arial" w:hAnsi="Arial" w:eastAsia="Arial"/>
          <w:b/>
          <w:i w:val="0"/>
          <w:color w:val="1B1B1B"/>
          <w:sz w:val="18"/>
        </w:rPr>
        <w:t>Valor total dos contratos</w:t>
      </w:r>
    </w:p>
    <w:p>
      <w:pPr>
        <w:spacing w:after="80"/>
        <w:ind w:left="312"/>
        <w:shd w:fill="F7F7F7"/>
      </w:pPr>
      <w:r>
        <w:rPr>
          <w:rFonts w:ascii="Arial" w:hAnsi="Arial" w:eastAsia="Arial"/>
          <w:b w:val="0"/>
          <w:i w:val="0"/>
          <w:color w:val="555555"/>
          <w:sz w:val="18"/>
        </w:rPr>
        <w:t>Brasil: R$ 39,4 bi    Minas Gerais: R$ 1,8 bi    Percentual: 4,6%</w:t>
      </w:r>
    </w:p>
    <w:p>
      <w:pPr>
        <w:spacing w:after="40"/>
        <w:ind w:left="142"/>
      </w:pPr>
      <w:r>
        <w:rPr>
          <w:rFonts w:ascii="Arial" w:hAnsi="Arial" w:eastAsia="Arial"/>
          <w:b/>
          <w:i w:val="0"/>
          <w:color w:val="1B1B1B"/>
          <w:sz w:val="18"/>
        </w:rPr>
        <w:t>Operacoes com identificacao feminina</w:t>
      </w:r>
    </w:p>
    <w:p>
      <w:pPr>
        <w:spacing w:after="80"/>
        <w:ind w:left="312"/>
      </w:pPr>
      <w:r>
        <w:rPr>
          <w:rFonts w:ascii="Arial" w:hAnsi="Arial" w:eastAsia="Arial"/>
          <w:b w:val="0"/>
          <w:i w:val="0"/>
          <w:color w:val="555555"/>
          <w:sz w:val="18"/>
        </w:rPr>
        <w:t>Brasil: 412.000    Minas Gerais: 20.350    Percentual: 4,9%</w:t>
      </w:r>
    </w:p>
    <w:p>
      <w:pPr>
        <w:spacing w:after="40"/>
        <w:ind w:left="142"/>
        <w:shd w:fill="F7F7F7"/>
      </w:pPr>
      <w:r>
        <w:rPr>
          <w:rFonts w:ascii="Arial" w:hAnsi="Arial" w:eastAsia="Arial"/>
          <w:b/>
          <w:i w:val="0"/>
          <w:color w:val="1B1B1B"/>
          <w:sz w:val="18"/>
        </w:rPr>
        <w:t>Ticket medio</w:t>
      </w:r>
    </w:p>
    <w:p>
      <w:pPr>
        <w:spacing w:after="80"/>
        <w:ind w:left="312"/>
        <w:shd w:fill="F7F7F7"/>
      </w:pPr>
      <w:r>
        <w:rPr>
          <w:rFonts w:ascii="Arial" w:hAnsi="Arial" w:eastAsia="Arial"/>
          <w:b w:val="0"/>
          <w:i w:val="0"/>
          <w:color w:val="555555"/>
          <w:sz w:val="18"/>
        </w:rPr>
        <w:t>Brasil: R$ 32.295    Minas Gerais: R$ 30.810    Percentual: 95,4%</w:t>
      </w:r>
    </w:p>
    <w:p>
      <w:pPr>
        <w:spacing w:before="100" w:after="40"/>
        <w:ind w:left="142" w:right="85"/>
        <w:shd w:fill="EAF2FF"/>
        <w:pBdr>
          <w:left w:val="single" w:sz="14" w:space="5" w:color="1351B4"/>
        </w:pBdr>
      </w:pPr>
      <w:r>
        <w:rPr>
          <w:rFonts w:ascii="Arial" w:hAnsi="Arial" w:eastAsia="Arial"/>
          <w:b/>
          <w:i w:val="0"/>
          <w:color w:val="17324D"/>
          <w:sz w:val="18"/>
        </w:rPr>
        <w:t>Avaliacao da posicao no ranking</w:t>
      </w:r>
    </w:p>
    <w:p>
      <w:pPr>
        <w:spacing w:after="40"/>
        <w:ind w:left="255" w:right="85"/>
        <w:shd w:fill="EAF2FF"/>
        <w:pBdr>
          <w:left w:val="single" w:sz="14" w:space="5" w:color="1351B4"/>
        </w:pBdr>
      </w:pPr>
      <w:r>
        <w:rPr>
          <w:rFonts w:ascii="Arial" w:hAnsi="Arial" w:eastAsia="Arial"/>
          <w:b w:val="0"/>
          <w:i w:val="0"/>
          <w:color w:val="17324D"/>
          <w:sz w:val="18"/>
        </w:rPr>
        <w:t>A UF ocupa posicao intermediaria superior no indicador de volume financeiro, conforme dados ficticios usados apenas para simulacao visual.</w:t>
      </w:r>
    </w:p>
    <w:p>
      <w:pPr>
        <w:spacing w:before="100" w:after="40"/>
        <w:ind w:left="142" w:right="85"/>
        <w:shd w:fill="EAF2FF"/>
        <w:pBdr>
          <w:left w:val="single" w:sz="14" w:space="5" w:color="1351B4"/>
        </w:pBdr>
      </w:pPr>
      <w:r>
        <w:rPr>
          <w:rFonts w:ascii="Arial" w:hAnsi="Arial" w:eastAsia="Arial"/>
          <w:b/>
          <w:i w:val="0"/>
          <w:color w:val="17324D"/>
          <w:sz w:val="18"/>
        </w:rPr>
        <w:t>Fonte e referencia</w:t>
      </w:r>
    </w:p>
    <w:p>
      <w:pPr>
        <w:spacing w:after="40"/>
        <w:ind w:left="255" w:right="85"/>
        <w:shd w:fill="EAF2FF"/>
        <w:pBdr>
          <w:left w:val="single" w:sz="14" w:space="5" w:color="1351B4"/>
        </w:pBdr>
      </w:pPr>
      <w:r>
        <w:rPr>
          <w:rFonts w:ascii="Arial" w:hAnsi="Arial" w:eastAsia="Arial"/>
          <w:b w:val="0"/>
          <w:i w:val="0"/>
          <w:color w:val="17324D"/>
          <w:sz w:val="18"/>
        </w:rPr>
        <w:t>Fonte: Base demonstrativa DAMEI. Referencia: 04/2026. Geracao da base: 28/04/2026.</w:t>
      </w:r>
    </w:p>
    <w:p>
      <w:pPr>
        <w:spacing w:before="100" w:after="40"/>
        <w:ind w:left="142" w:right="85"/>
        <w:shd w:fill="FFF4CC"/>
        <w:pBdr>
          <w:left w:val="single" w:sz="14" w:space="5" w:color="FFCD07"/>
        </w:pBdr>
      </w:pPr>
      <w:r>
        <w:rPr>
          <w:rFonts w:ascii="Arial" w:hAnsi="Arial" w:eastAsia="Arial"/>
          <w:b/>
          <w:i w:val="0"/>
          <w:color w:val="5C4100"/>
          <w:sz w:val="18"/>
        </w:rPr>
        <w:t>Lacunas em relacao ao documento padrao</w:t>
      </w:r>
    </w:p>
    <w:p>
      <w:pPr>
        <w:spacing w:after="40"/>
        <w:ind w:left="255" w:right="85"/>
        <w:shd w:fill="FFF4CC"/>
        <w:pBdr>
          <w:left w:val="single" w:sz="14" w:space="5" w:color="FFCD07"/>
        </w:pBdr>
      </w:pPr>
      <w:r>
        <w:rPr>
          <w:rFonts w:ascii="Arial" w:hAnsi="Arial" w:eastAsia="Arial"/>
          <w:b w:val="0"/>
          <w:i w:val="0"/>
          <w:color w:val="5C4100"/>
          <w:sz w:val="18"/>
        </w:rPr>
        <w:t>- Serie historica anual revisada no formato do documento padrao. Informacao indisponivel nas bases atuais.</w:t>
      </w:r>
    </w:p>
    <w:p>
      <w:pPr>
        <w:pStyle w:val="Heading1"/>
        <w:keepNext/>
        <w:spacing w:before="300" w:after="100"/>
      </w:pPr>
      <w:r>
        <w:rPr>
          <w:rFonts w:ascii="Arial" w:hAnsi="Arial" w:eastAsia="Arial"/>
          <w:b/>
          <w:i w:val="0"/>
          <w:color w:val="071D41"/>
          <w:sz w:val="31"/>
        </w:rPr>
        <w:t>3. PNRA - Reforma Agraria</w:t>
      </w:r>
    </w:p>
    <w:p>
      <w:pPr>
        <w:pStyle w:val="BodyText"/>
        <w:spacing w:line="259" w:lineRule="auto" w:after="100"/>
      </w:pPr>
      <w:r>
        <w:rPr>
          <w:rFonts w:ascii="Arial" w:hAnsi="Arial" w:eastAsia="Arial"/>
          <w:b w:val="0"/>
          <w:i w:val="0"/>
          <w:color w:val="1B1B1B"/>
          <w:sz w:val="21"/>
        </w:rPr>
        <w:t>Esta secao apresenta uma simulacao de indicadores relacionados ao Programa Nacional de Reforma Agraria. Lorem ipsum dolor sit amet, consectetur adipiscing elit. Praesent vitae justo vitae est pulvinar consequat. Aenean non risus at neque varius cursus.</w:t>
      </w:r>
    </w:p>
    <w:p>
      <w:pPr>
        <w:pStyle w:val="Heading2"/>
        <w:keepNext/>
        <w:spacing w:before="180" w:after="100"/>
      </w:pPr>
      <w:r>
        <w:rPr>
          <w:rFonts w:ascii="Arial" w:hAnsi="Arial" w:eastAsia="Arial"/>
          <w:b/>
          <w:i w:val="0"/>
          <w:color w:val="1351B4"/>
          <w:sz w:val="25"/>
        </w:rPr>
        <w:t>Quadro de indicadores</w:t>
      </w:r>
    </w:p>
    <w:p>
      <w:pPr>
        <w:spacing w:after="60"/>
        <w:ind w:left="142"/>
        <w:shd w:fill="071D41"/>
      </w:pPr>
      <w:r>
        <w:rPr>
          <w:rFonts w:ascii="Arial" w:hAnsi="Arial" w:eastAsia="Arial"/>
          <w:b/>
          <w:i w:val="0"/>
          <w:color w:val="FFFFFF"/>
          <w:sz w:val="18"/>
        </w:rPr>
        <w:t>Indicador | Brasil | Minas Gerais | Percentual nacional</w:t>
      </w:r>
    </w:p>
    <w:p>
      <w:pPr>
        <w:spacing w:after="40"/>
        <w:ind w:left="142"/>
      </w:pPr>
      <w:r>
        <w:rPr>
          <w:rFonts w:ascii="Arial" w:hAnsi="Arial" w:eastAsia="Arial"/>
          <w:b/>
          <w:i w:val="0"/>
          <w:color w:val="1B1B1B"/>
          <w:sz w:val="18"/>
        </w:rPr>
        <w:t>Familias assentadas</w:t>
      </w:r>
    </w:p>
    <w:p>
      <w:pPr>
        <w:spacing w:after="80"/>
        <w:ind w:left="312"/>
      </w:pPr>
      <w:r>
        <w:rPr>
          <w:rFonts w:ascii="Arial" w:hAnsi="Arial" w:eastAsia="Arial"/>
          <w:b w:val="0"/>
          <w:i w:val="0"/>
          <w:color w:val="555555"/>
          <w:sz w:val="18"/>
        </w:rPr>
        <w:t>Brasil: 372.100    Minas Gerais: 18.240    Percentual: 4,9%</w:t>
      </w:r>
    </w:p>
    <w:p>
      <w:pPr>
        <w:spacing w:after="40"/>
        <w:ind w:left="142"/>
        <w:shd w:fill="F7F7F7"/>
      </w:pPr>
      <w:r>
        <w:rPr>
          <w:rFonts w:ascii="Arial" w:hAnsi="Arial" w:eastAsia="Arial"/>
          <w:b/>
          <w:i w:val="0"/>
          <w:color w:val="1B1B1B"/>
          <w:sz w:val="18"/>
        </w:rPr>
        <w:t>Assentamentos regularizados</w:t>
      </w:r>
    </w:p>
    <w:p>
      <w:pPr>
        <w:spacing w:after="80"/>
        <w:ind w:left="312"/>
        <w:shd w:fill="F7F7F7"/>
      </w:pPr>
      <w:r>
        <w:rPr>
          <w:rFonts w:ascii="Arial" w:hAnsi="Arial" w:eastAsia="Arial"/>
          <w:b w:val="0"/>
          <w:i w:val="0"/>
          <w:color w:val="555555"/>
          <w:sz w:val="18"/>
        </w:rPr>
        <w:t>Brasil: 7.820    Minas Gerais: 336    Percentual: 4,3%</w:t>
      </w:r>
    </w:p>
    <w:p>
      <w:pPr>
        <w:spacing w:after="40"/>
        <w:ind w:left="142"/>
      </w:pPr>
      <w:r>
        <w:rPr>
          <w:rFonts w:ascii="Arial" w:hAnsi="Arial" w:eastAsia="Arial"/>
          <w:b/>
          <w:i w:val="0"/>
          <w:color w:val="1B1B1B"/>
          <w:sz w:val="18"/>
        </w:rPr>
        <w:t>Assentamentos em reconhecimento</w:t>
      </w:r>
    </w:p>
    <w:p>
      <w:pPr>
        <w:spacing w:after="80"/>
        <w:ind w:left="312"/>
      </w:pPr>
      <w:r>
        <w:rPr>
          <w:rFonts w:ascii="Arial" w:hAnsi="Arial" w:eastAsia="Arial"/>
          <w:b w:val="0"/>
          <w:i w:val="0"/>
          <w:color w:val="555555"/>
          <w:sz w:val="18"/>
        </w:rPr>
        <w:t>Brasil: 1.430    Minas Gerais: 62    Percentual: 4,3%</w:t>
      </w:r>
    </w:p>
    <w:p>
      <w:pPr>
        <w:spacing w:after="40"/>
        <w:ind w:left="142"/>
        <w:shd w:fill="F7F7F7"/>
      </w:pPr>
      <w:r>
        <w:rPr>
          <w:rFonts w:ascii="Arial" w:hAnsi="Arial" w:eastAsia="Arial"/>
          <w:b/>
          <w:i w:val="0"/>
          <w:color w:val="1B1B1B"/>
          <w:sz w:val="18"/>
        </w:rPr>
        <w:t>Assentamentos diferenciados</w:t>
      </w:r>
    </w:p>
    <w:p>
      <w:pPr>
        <w:spacing w:after="80"/>
        <w:ind w:left="312"/>
        <w:shd w:fill="F7F7F7"/>
      </w:pPr>
      <w:r>
        <w:rPr>
          <w:rFonts w:ascii="Arial" w:hAnsi="Arial" w:eastAsia="Arial"/>
          <w:b w:val="0"/>
          <w:i w:val="0"/>
          <w:color w:val="555555"/>
          <w:sz w:val="18"/>
        </w:rPr>
        <w:t>Brasil: 980    Minas Gerais: 41    Percentual: 4,2%</w:t>
      </w:r>
    </w:p>
    <w:p>
      <w:pPr>
        <w:spacing w:before="100" w:after="40"/>
        <w:ind w:left="142" w:right="85"/>
        <w:shd w:fill="EAF2FF"/>
        <w:pBdr>
          <w:left w:val="single" w:sz="14" w:space="5" w:color="1351B4"/>
        </w:pBdr>
      </w:pPr>
      <w:r>
        <w:rPr>
          <w:rFonts w:ascii="Arial" w:hAnsi="Arial" w:eastAsia="Arial"/>
          <w:b/>
          <w:i w:val="0"/>
          <w:color w:val="17324D"/>
          <w:sz w:val="18"/>
        </w:rPr>
        <w:t>Avaliacao da posicao no ranking</w:t>
      </w:r>
    </w:p>
    <w:p>
      <w:pPr>
        <w:spacing w:after="40"/>
        <w:ind w:left="255" w:right="85"/>
        <w:shd w:fill="EAF2FF"/>
        <w:pBdr>
          <w:left w:val="single" w:sz="14" w:space="5" w:color="1351B4"/>
        </w:pBdr>
      </w:pPr>
      <w:r>
        <w:rPr>
          <w:rFonts w:ascii="Arial" w:hAnsi="Arial" w:eastAsia="Arial"/>
          <w:b w:val="0"/>
          <w:i w:val="0"/>
          <w:color w:val="17324D"/>
          <w:sz w:val="18"/>
        </w:rPr>
        <w:t>Para familias assentadas, Minas Gerais aparece na 5a posicao entre 27 UFs nesta base demonstrativa.</w:t>
      </w:r>
    </w:p>
    <w:p>
      <w:pPr>
        <w:spacing w:before="100" w:after="40"/>
        <w:ind w:left="142" w:right="85"/>
        <w:shd w:fill="EAF2FF"/>
        <w:pBdr>
          <w:left w:val="single" w:sz="14" w:space="5" w:color="1351B4"/>
        </w:pBdr>
      </w:pPr>
      <w:r>
        <w:rPr>
          <w:rFonts w:ascii="Arial" w:hAnsi="Arial" w:eastAsia="Arial"/>
          <w:b/>
          <w:i w:val="0"/>
          <w:color w:val="17324D"/>
          <w:sz w:val="18"/>
        </w:rPr>
        <w:t>Fonte e referencia</w:t>
      </w:r>
    </w:p>
    <w:p>
      <w:pPr>
        <w:spacing w:after="40"/>
        <w:ind w:left="255" w:right="85"/>
        <w:shd w:fill="EAF2FF"/>
        <w:pBdr>
          <w:left w:val="single" w:sz="14" w:space="5" w:color="1351B4"/>
        </w:pBdr>
      </w:pPr>
      <w:r>
        <w:rPr>
          <w:rFonts w:ascii="Arial" w:hAnsi="Arial" w:eastAsia="Arial"/>
          <w:b w:val="0"/>
          <w:i w:val="0"/>
          <w:color w:val="17324D"/>
          <w:sz w:val="18"/>
        </w:rPr>
        <w:t>Fonte: Base demonstrativa DAMEI. Referencia: 04/2026. Geracao da base: 28/04/2026.</w:t>
      </w:r>
    </w:p>
    <w:p>
      <w:pPr>
        <w:spacing w:before="100" w:after="40"/>
        <w:ind w:left="142" w:right="85"/>
        <w:shd w:fill="FFF4CC"/>
        <w:pBdr>
          <w:left w:val="single" w:sz="14" w:space="5" w:color="FFCD07"/>
        </w:pBdr>
      </w:pPr>
      <w:r>
        <w:rPr>
          <w:rFonts w:ascii="Arial" w:hAnsi="Arial" w:eastAsia="Arial"/>
          <w:b/>
          <w:i w:val="0"/>
          <w:color w:val="5C4100"/>
          <w:sz w:val="18"/>
        </w:rPr>
        <w:t>Lacunas em relacao ao documento padrao</w:t>
      </w:r>
    </w:p>
    <w:p>
      <w:pPr>
        <w:spacing w:after="40"/>
        <w:ind w:left="255" w:right="85"/>
        <w:shd w:fill="FFF4CC"/>
        <w:pBdr>
          <w:left w:val="single" w:sz="14" w:space="5" w:color="FFCD07"/>
        </w:pBdr>
      </w:pPr>
      <w:r>
        <w:rPr>
          <w:rFonts w:ascii="Arial" w:hAnsi="Arial" w:eastAsia="Arial"/>
          <w:b w:val="0"/>
          <w:i w:val="0"/>
          <w:color w:val="5C4100"/>
          <w:sz w:val="18"/>
        </w:rPr>
        <w:t>- Quadros historicos anuais no formato do documento padrao. Informacao indisponivel nas bases atuais.</w:t>
      </w:r>
    </w:p>
    <w:p>
      <w:pPr>
        <w:pStyle w:val="Heading1"/>
        <w:keepNext/>
        <w:spacing w:before="300" w:after="100"/>
      </w:pPr>
      <w:r>
        <w:rPr>
          <w:rFonts w:ascii="Arial" w:hAnsi="Arial" w:eastAsia="Arial"/>
          <w:b/>
          <w:i w:val="0"/>
          <w:color w:val="071D41"/>
          <w:sz w:val="31"/>
        </w:rPr>
        <w:t>Nota metodologica</w:t>
      </w:r>
    </w:p>
    <w:p>
      <w:pPr>
        <w:pStyle w:val="BodyText"/>
        <w:spacing w:line="259" w:lineRule="auto" w:after="100"/>
      </w:pPr>
      <w:r>
        <w:rPr>
          <w:rFonts w:ascii="Arial" w:hAnsi="Arial" w:eastAsia="Arial"/>
          <w:b w:val="0"/>
          <w:i w:val="0"/>
          <w:color w:val="1B1B1B"/>
          <w:sz w:val="21"/>
        </w:rPr>
        <w:t>Os dados deste exemplo sao ficticios e foram criados exclusivamente para validar a apresentacao visual do relatorio. Nenhum numero deve ser interpretado como informacao administrativa, estatistica ou operacional do Governo Federal.</w:t>
      </w:r>
    </w:p>
    <w:p>
      <w:pPr>
        <w:pStyle w:val="BodyText"/>
        <w:spacing w:line="259" w:lineRule="auto" w:after="100"/>
      </w:pPr>
      <w:r>
        <w:rPr>
          <w:rFonts w:ascii="Arial" w:hAnsi="Arial" w:eastAsia="Arial"/>
          <w:b w:val="0"/>
          <w:i w:val="0"/>
          <w:color w:val="1B1B1B"/>
          <w:sz w:val="21"/>
        </w:rPr>
        <w:t>Lorem ipsum dolor sit amet, consectetur adipiscing elit. Suspendisse potenti. Integer id arcu sem. Cras vitae orci ut sem egestas pretium. Vestibulum ante ipsum primis in faucibus orci luctus et ultrices posuere cubilia curae.</w:t>
      </w:r>
    </w:p>
    <w:p>
      <w:pPr>
        <w:spacing w:before="100" w:after="40"/>
        <w:ind w:left="142" w:right="85"/>
        <w:shd w:fill="EAF2FF"/>
        <w:pBdr>
          <w:left w:val="single" w:sz="14" w:space="5" w:color="1351B4"/>
        </w:pBdr>
      </w:pPr>
      <w:r>
        <w:rPr>
          <w:rFonts w:ascii="Arial" w:hAnsi="Arial" w:eastAsia="Arial"/>
          <w:b/>
          <w:i w:val="0"/>
          <w:color w:val="17324D"/>
          <w:sz w:val="18"/>
        </w:rPr>
        <w:t>Criterio de pronto visual</w:t>
      </w:r>
    </w:p>
    <w:p>
      <w:pPr>
        <w:spacing w:after="40"/>
        <w:ind w:left="255" w:right="85"/>
        <w:shd w:fill="EAF2FF"/>
        <w:pBdr>
          <w:left w:val="single" w:sz="14" w:space="5" w:color="1351B4"/>
        </w:pBdr>
      </w:pPr>
      <w:r>
        <w:rPr>
          <w:rFonts w:ascii="Arial" w:hAnsi="Arial" w:eastAsia="Arial"/>
          <w:b w:val="0"/>
          <w:i w:val="0"/>
          <w:color w:val="17324D"/>
          <w:sz w:val="18"/>
        </w:rPr>
        <w:t>O documento deve abrir corretamente no Word, preservar estilos, manter indicadores legiveis e exibir fonte, referencia e lacunas de modo padronizado.</w:t>
      </w:r>
    </w:p>
    <w:p>
      <w:pPr>
        <w:spacing w:after="40"/>
        <w:ind w:left="255" w:right="85"/>
        <w:shd w:fill="EAF2FF"/>
        <w:pBdr>
          <w:left w:val="single" w:sz="14" w:space="5" w:color="1351B4"/>
        </w:pBdr>
      </w:pPr>
      <w:r>
        <w:rPr>
          <w:rFonts w:ascii="Arial" w:hAnsi="Arial" w:eastAsia="Arial"/>
          <w:b w:val="0"/>
          <w:i w:val="0"/>
          <w:color w:val="17324D"/>
          <w:sz w:val="18"/>
        </w:rPr>
        <w:t>Antes de ser usado como base produtiva, este mockup deve ser comparado ao template oficial e aprovado pela equipe responsavel.</w:t>
      </w:r>
    </w:p>
    <w:sectPr w:rsidR="00FC693F" w:rsidRPr="0006063C" w:rsidSect="00034616">
      <w:headerReference w:type="default" r:id="rId9"/>
      <w:footerReference w:type="default" r:id="rId10"/>
      <w:pgSz w:w="11906" w:h="16838"/>
      <w:pgMar w:top="1247" w:right="1276" w:bottom="1134" w:left="1276"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eastAsia="Arial"/>
        <w:b w:val="0"/>
        <w:i w:val="0"/>
        <w:color w:val="555555"/>
        <w:sz w:val="16"/>
      </w:rPr>
      <w:t>Exemplo ficticio sem valor oficial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i w:val="0"/>
        <w:color w:val="555555"/>
        <w:sz w:val="17"/>
      </w:rPr>
      <w:t>Relatorio Estadual de Monitoramento DAMEI | Minas Gerais | Abril/2026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B1B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71D41"/>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351B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71D4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color w:val="1B1B1B"/>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Relatorio Estadual de Monitoramento DAMEI - Exemplo ficticio</dc:title>
  <dc:subject>Mockup visual baseado no DESIGN.md</dc:subject>
  <dc:creator>DAMEI/MDA - exemplo gerado por automacao</dc:creator>
  <cp:keywords>DAMEI, MDA, GOV.BR, relatorio, mockup, acessibilidade</cp:keywords>
  <dc:description>Documento ficticio sem valor oficial.</dc:description>
  <cp:lastModifiedBy/>
  <cp:revision>1</cp:revision>
  <dcterms:created xsi:type="dcterms:W3CDTF">2013-12-23T23:15:00Z</dcterms:created>
  <dcterms:modified xsi:type="dcterms:W3CDTF">2013-12-23T23:15:00Z</dcterms:modified>
  <cp:category/>
</cp:coreProperties>
</file>