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Amazonas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Amazonas possui 65.014 CAFs Pessoa Física ativos, equivalentes a 1,67% do total nacional. No PRONAF, o volume financeiro consolidado para a UF é R$ 45.013.305,12, equivalente a 0,31%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Amazonas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65.014</w:t>
            </w:r>
          </w:p>
        </w:tc>
        <w:tc>
          <w:tcPr>
            <w:tcW w:type="dxa" w:w="2160"/>
          </w:tcPr>
          <w:p>
            <w:r>
              <w:t>1,67%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293</w:t>
            </w:r>
          </w:p>
        </w:tc>
        <w:tc>
          <w:tcPr>
            <w:tcW w:type="dxa" w:w="2160"/>
          </w:tcPr>
          <w:p>
            <w:r>
              <w:t>3,20%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59.394</w:t>
            </w:r>
          </w:p>
        </w:tc>
        <w:tc>
          <w:tcPr>
            <w:tcW w:type="dxa" w:w="2160"/>
          </w:tcPr>
          <w:p>
            <w:r>
              <w:t>1,68%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64.112</w:t>
            </w:r>
          </w:p>
        </w:tc>
        <w:tc>
          <w:tcPr>
            <w:tcW w:type="dxa" w:w="2160"/>
          </w:tcPr>
          <w:p>
            <w:r>
              <w:t>1,82%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Amazonas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2.937</w:t>
            </w:r>
          </w:p>
        </w:tc>
        <w:tc>
          <w:tcPr>
            <w:tcW w:type="dxa" w:w="2160"/>
          </w:tcPr>
          <w:p>
            <w:r>
              <w:t>0,61%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R$ 45.013.305,12</w:t>
            </w:r>
          </w:p>
        </w:tc>
        <w:tc>
          <w:tcPr>
            <w:tcW w:type="dxa" w:w="2160"/>
          </w:tcPr>
          <w:p>
            <w:r>
              <w:t>0,31%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2.937</w:t>
            </w:r>
          </w:p>
        </w:tc>
        <w:tc>
          <w:tcPr>
            <w:tcW w:type="dxa" w:w="2160"/>
          </w:tcPr>
          <w:p>
            <w:r>
              <w:t>0,61%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Amazonas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1.631</w:t>
            </w:r>
          </w:p>
        </w:tc>
        <w:tc>
          <w:tcPr>
            <w:tcW w:type="dxa" w:w="2160"/>
          </w:tcPr>
          <w:p>
            <w:r>
              <w:t>1,71%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R$ 19.951.717,35</w:t>
            </w:r>
          </w:p>
        </w:tc>
        <w:tc>
          <w:tcPr>
            <w:tcW w:type="dxa" w:w="2160"/>
          </w:tcPr>
          <w:p>
            <w:r>
              <w:t>0,56%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Amazonas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0,77%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Amazonas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705</w:t>
            </w:r>
          </w:p>
        </w:tc>
        <w:tc>
          <w:tcPr>
            <w:tcW w:type="dxa" w:w="2160"/>
          </w:tcPr>
          <w:p>
            <w:r>
              <w:t>0,08%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274</w:t>
            </w:r>
          </w:p>
        </w:tc>
        <w:tc>
          <w:tcPr>
            <w:tcW w:type="dxa" w:w="2160"/>
          </w:tcPr>
          <w:p>
            <w:r>
              <w:t>0,03%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Amazonas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Amazonas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21,27%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2,74%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628</w:t>
            </w:r>
          </w:p>
        </w:tc>
        <w:tc>
          <w:tcPr>
            <w:tcW w:type="dxa" w:w="2160"/>
          </w:tcPr>
          <w:p>
            <w:r>
              <w:t>6,89%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