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Bahia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Bahia possui 720.630 CAFs Pessoa Física ativos, equivalentes a 18,49% do total nacional. No PRONAF, o volume financeiro consolidado para a UF é R$ 1.229.653.837,93, equivalente a 8,38%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720.630</w:t>
            </w:r>
          </w:p>
        </w:tc>
        <w:tc>
          <w:tcPr>
            <w:tcW w:type="dxa" w:w="2160"/>
          </w:tcPr>
          <w:p>
            <w:r>
              <w:t>18,49%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2.064</w:t>
            </w:r>
          </w:p>
        </w:tc>
        <w:tc>
          <w:tcPr>
            <w:tcW w:type="dxa" w:w="2160"/>
          </w:tcPr>
          <w:p>
            <w:r>
              <w:t>22,53%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655.056</w:t>
            </w:r>
          </w:p>
        </w:tc>
        <w:tc>
          <w:tcPr>
            <w:tcW w:type="dxa" w:w="2160"/>
          </w:tcPr>
          <w:p>
            <w:r>
              <w:t>18,56%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626.049</w:t>
            </w:r>
          </w:p>
        </w:tc>
        <w:tc>
          <w:tcPr>
            <w:tcW w:type="dxa" w:w="2160"/>
          </w:tcPr>
          <w:p>
            <w:r>
              <w:t>17,79%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84.248</w:t>
            </w:r>
          </w:p>
        </w:tc>
        <w:tc>
          <w:tcPr>
            <w:tcW w:type="dxa" w:w="2160"/>
          </w:tcPr>
          <w:p>
            <w:r>
              <w:t>17,48%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R$ 1.229.653.837,93</w:t>
            </w:r>
          </w:p>
        </w:tc>
        <w:tc>
          <w:tcPr>
            <w:tcW w:type="dxa" w:w="2160"/>
          </w:tcPr>
          <w:p>
            <w:r>
              <w:t>8,38%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84.248</w:t>
            </w:r>
          </w:p>
        </w:tc>
        <w:tc>
          <w:tcPr>
            <w:tcW w:type="dxa" w:w="2160"/>
          </w:tcPr>
          <w:p>
            <w:r>
              <w:t>17,48%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13.068</w:t>
            </w:r>
          </w:p>
        </w:tc>
        <w:tc>
          <w:tcPr>
            <w:tcW w:type="dxa" w:w="2160"/>
          </w:tcPr>
          <w:p>
            <w:r>
              <w:t>13,70%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R$ 147.416.498,03</w:t>
            </w:r>
          </w:p>
        </w:tc>
        <w:tc>
          <w:tcPr>
            <w:tcW w:type="dxa" w:w="2160"/>
          </w:tcPr>
          <w:p>
            <w:r>
              <w:t>4,17%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2,44%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3,83%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333.616</w:t>
            </w:r>
          </w:p>
        </w:tc>
        <w:tc>
          <w:tcPr>
            <w:tcW w:type="dxa" w:w="2160"/>
          </w:tcPr>
          <w:p>
            <w:r>
              <w:t>37,05%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317.522</w:t>
            </w:r>
          </w:p>
        </w:tc>
        <w:tc>
          <w:tcPr>
            <w:tcW w:type="dxa" w:w="2160"/>
          </w:tcPr>
          <w:p>
            <w:r>
              <w:t>38,09%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9,59%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R$ 10.535.558,58</w:t>
            </w:r>
          </w:p>
        </w:tc>
        <w:tc>
          <w:tcPr>
            <w:tcW w:type="dxa" w:w="2160"/>
          </w:tcPr>
          <w:p>
            <w:r>
              <w:t>10,13%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R$ 263.388,96</w:t>
            </w:r>
          </w:p>
        </w:tc>
        <w:tc>
          <w:tcPr>
            <w:tcW w:type="dxa" w:w="2160"/>
          </w:tcPr>
          <w:p>
            <w:r>
              <w:t>105,58%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20,51%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10,66%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