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Ceará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Ceará possui 416.858 CAFs Pessoa Física ativos, equivalentes a 10,69% do total nacional. No PRONAF, o volume financeiro consolidado para a UF é R$ 427.484.800,90, equivalente a 2,91%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416.858</w:t>
            </w:r>
          </w:p>
        </w:tc>
        <w:tc>
          <w:tcPr>
            <w:tcW w:type="dxa" w:w="2160"/>
          </w:tcPr>
          <w:p>
            <w:r>
              <w:t>10,69%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3,51%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414.438</w:t>
            </w:r>
          </w:p>
        </w:tc>
        <w:tc>
          <w:tcPr>
            <w:tcW w:type="dxa" w:w="2160"/>
          </w:tcPr>
          <w:p>
            <w:r>
              <w:t>11,74%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399.942</w:t>
            </w:r>
          </w:p>
        </w:tc>
        <w:tc>
          <w:tcPr>
            <w:tcW w:type="dxa" w:w="2160"/>
          </w:tcPr>
          <w:p>
            <w:r>
              <w:t>11,36%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41.646</w:t>
            </w:r>
          </w:p>
        </w:tc>
        <w:tc>
          <w:tcPr>
            <w:tcW w:type="dxa" w:w="2160"/>
          </w:tcPr>
          <w:p>
            <w:r>
              <w:t>8,64%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R$ 427.484.800,90</w:t>
            </w:r>
          </w:p>
        </w:tc>
        <w:tc>
          <w:tcPr>
            <w:tcW w:type="dxa" w:w="2160"/>
          </w:tcPr>
          <w:p>
            <w:r>
              <w:t>2,91%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41.646</w:t>
            </w:r>
          </w:p>
        </w:tc>
        <w:tc>
          <w:tcPr>
            <w:tcW w:type="dxa" w:w="2160"/>
          </w:tcPr>
          <w:p>
            <w:r>
              <w:t>8,64%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10.235</w:t>
            </w:r>
          </w:p>
        </w:tc>
        <w:tc>
          <w:tcPr>
            <w:tcW w:type="dxa" w:w="2160"/>
          </w:tcPr>
          <w:p>
            <w:r>
              <w:t>10,73%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R$ 71.517.987,09</w:t>
            </w:r>
          </w:p>
        </w:tc>
        <w:tc>
          <w:tcPr>
            <w:tcW w:type="dxa" w:w="2160"/>
          </w:tcPr>
          <w:p>
            <w:r>
              <w:t>2,02%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0,02%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415</w:t>
            </w:r>
          </w:p>
        </w:tc>
        <w:tc>
          <w:tcPr>
            <w:tcW w:type="dxa" w:w="2160"/>
          </w:tcPr>
          <w:p>
            <w:r>
              <w:t>2,46%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176.528</w:t>
            </w:r>
          </w:p>
        </w:tc>
        <w:tc>
          <w:tcPr>
            <w:tcW w:type="dxa" w:w="2160"/>
          </w:tcPr>
          <w:p>
            <w:r>
              <w:t>19,61%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146.296</w:t>
            </w:r>
          </w:p>
        </w:tc>
        <w:tc>
          <w:tcPr>
            <w:tcW w:type="dxa" w:w="2160"/>
          </w:tcPr>
          <w:p>
            <w:r>
              <w:t>17,55%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10,07%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R$ 7.974.624,24</w:t>
            </w:r>
          </w:p>
        </w:tc>
        <w:tc>
          <w:tcPr>
            <w:tcW w:type="dxa" w:w="2160"/>
          </w:tcPr>
          <w:p>
            <w:r>
              <w:t>7,67%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R$ 189.872,01</w:t>
            </w:r>
          </w:p>
        </w:tc>
        <w:tc>
          <w:tcPr>
            <w:tcW w:type="dxa" w:w="2160"/>
          </w:tcPr>
          <w:p>
            <w:r>
              <w:t>76,11%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Ceará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2,50%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0,55%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2,60%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135</w:t>
            </w:r>
          </w:p>
        </w:tc>
        <w:tc>
          <w:tcPr>
            <w:tcW w:type="dxa" w:w="2160"/>
          </w:tcPr>
          <w:p>
            <w:r>
              <w:t>1,48%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