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Espírito Santo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Espírito Santo possui 55.095 CAFs Pessoa Física ativos, equivalentes a 1,41% do total nacional. No PRONAF, o volume financeiro consolidado para a UF é R$ 749.403.823,99, equivalente a 5,11%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55.095</w:t>
            </w:r>
          </w:p>
        </w:tc>
        <w:tc>
          <w:tcPr>
            <w:tcW w:type="dxa" w:w="2160"/>
          </w:tcPr>
          <w:p>
            <w:r>
              <w:t>1,41%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1,91%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56.600</w:t>
            </w:r>
          </w:p>
        </w:tc>
        <w:tc>
          <w:tcPr>
            <w:tcW w:type="dxa" w:w="2160"/>
          </w:tcPr>
          <w:p>
            <w:r>
              <w:t>1,60%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64.015</w:t>
            </w:r>
          </w:p>
        </w:tc>
        <w:tc>
          <w:tcPr>
            <w:tcW w:type="dxa" w:w="2160"/>
          </w:tcPr>
          <w:p>
            <w:r>
              <w:t>1,82%</w:t>
            </w:r>
          </w:p>
        </w:tc>
      </w:tr>
    </w:tbl>
    <w:p>
      <w:r>
        <w:t>Avaliação da posição no ranking: ES está na 17ª posição entre 27 UFs, com participação de 1,41%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8.603</w:t>
            </w:r>
          </w:p>
        </w:tc>
        <w:tc>
          <w:tcPr>
            <w:tcW w:type="dxa" w:w="2160"/>
          </w:tcPr>
          <w:p>
            <w:r>
              <w:t>1,78%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R$ 749.403.823,99</w:t>
            </w:r>
          </w:p>
        </w:tc>
        <w:tc>
          <w:tcPr>
            <w:tcW w:type="dxa" w:w="2160"/>
          </w:tcPr>
          <w:p>
            <w:r>
              <w:t>5,11%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8.603</w:t>
            </w:r>
          </w:p>
        </w:tc>
        <w:tc>
          <w:tcPr>
            <w:tcW w:type="dxa" w:w="2160"/>
          </w:tcPr>
          <w:p>
            <w:r>
              <w:t>1,78%</w:t>
            </w:r>
          </w:p>
        </w:tc>
      </w:tr>
    </w:tbl>
    <w:p>
      <w:r>
        <w:t>Avaliação da posição no ranking: ES está na 6ª posição entre 27 UFs, com participação de 5,11%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3.566</w:t>
            </w:r>
          </w:p>
        </w:tc>
        <w:tc>
          <w:tcPr>
            <w:tcW w:type="dxa" w:w="2160"/>
          </w:tcPr>
          <w:p>
            <w:r>
              <w:t>3,74%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R$ 325.146.720,54</w:t>
            </w:r>
          </w:p>
        </w:tc>
        <w:tc>
          <w:tcPr>
            <w:tcW w:type="dxa" w:w="2160"/>
          </w:tcPr>
          <w:p>
            <w:r>
              <w:t>9,20%</w:t>
            </w:r>
          </w:p>
        </w:tc>
      </w:tr>
    </w:tbl>
    <w:p>
      <w:r>
        <w:t>Avaliação da posição no ranking: ES está na 5ª posição entre 27 UFs, com participação de 9,20%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2,07%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2,11%</w:t>
            </w:r>
          </w:p>
        </w:tc>
      </w:tr>
    </w:tbl>
    <w:p>
      <w:r>
        <w:t>Avaliação da posição no ranking: ES está na 17ª posição entre 27 UFs, com participação de 2,11%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ES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0,96%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R$ 828.048,00</w:t>
            </w:r>
          </w:p>
        </w:tc>
        <w:tc>
          <w:tcPr>
            <w:tcW w:type="dxa" w:w="2160"/>
          </w:tcPr>
          <w:p>
            <w:r>
              <w:t>0,80%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R$ 207.012,00</w:t>
            </w:r>
          </w:p>
        </w:tc>
        <w:tc>
          <w:tcPr>
            <w:tcW w:type="dxa" w:w="2160"/>
          </w:tcPr>
          <w:p>
            <w:r>
              <w:t>82,98%</w:t>
            </w:r>
          </w:p>
        </w:tc>
      </w:tr>
    </w:tbl>
    <w:p>
      <w:r>
        <w:t>Avaliação da posição no ranking: ES está na 14ª posição entre 27 UFs, com participação de 0,80%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0,10%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0,21%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0,13%</w:t>
            </w:r>
          </w:p>
        </w:tc>
      </w:tr>
    </w:tbl>
    <w:p>
      <w:r>
        <w:t>Avaliação da posição no ranking: ES está na 26ª posição entre 27 UFs, com participação de 0,13%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