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Minas Gerais possui 266.478 CAFs Pessoa Física ativos, equivalentes a 6,84% do total nacional. No PRONAF, o volume financeiro consolidado para a UF é R$ 1.604.294.782,57, equivalente a 10,94%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Avaliação da posição no ranking: MG está na 6ª posição entre 27 UFs, com participação de 6,84%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Avaliação da posição no ranking: MG está na 4ª posição entre 27 UFs, com participação de 10,94%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9,48%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11,77%</w:t>
            </w:r>
          </w:p>
        </w:tc>
      </w:tr>
    </w:tbl>
    <w:p>
      <w:r>
        <w:t>Avaliação da posição no ranking: MG está na 4ª posição entre 27 UFs, com participação de 11,77%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Avaliação da posição no ranking: MG está na 2ª posição entre 27 UFs, com participação de 9,08%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Avaliação da posição no ranking: MG está na 6ª posição entre 27 UFs, com participação de 4,46%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Avaliação da posição no ranking: MG está na 8ª posição entre 27 UFs, com participação de 6,35%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Minas Gerais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Avaliação da posição no ranking: MG está na 16ª posição entre 27 UFs, com participação de 1,11%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