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Mato Grosso do Sul</w:t>
      </w:r>
    </w:p>
    <w:p>
      <w:r>
        <w:t>Gerado em: 27/04/2026 11:10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Mato Grosso do Sul possui 28.415 CAFs Pessoa Física ativos, equivalentes a 0,73% do total nacional. No PRONAF, o volume financeiro consolidado para a UF é R$ 146.256.825,98, equivalente a 1,00%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Mato Grosso do Sul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28.415</w:t>
            </w:r>
          </w:p>
        </w:tc>
        <w:tc>
          <w:tcPr>
            <w:tcW w:type="dxa" w:w="2160"/>
          </w:tcPr>
          <w:p>
            <w:r>
              <w:t>0,73%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159</w:t>
            </w:r>
          </w:p>
        </w:tc>
        <w:tc>
          <w:tcPr>
            <w:tcW w:type="dxa" w:w="2160"/>
          </w:tcPr>
          <w:p>
            <w:r>
              <w:t>1,74%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24.963</w:t>
            </w:r>
          </w:p>
        </w:tc>
        <w:tc>
          <w:tcPr>
            <w:tcW w:type="dxa" w:w="2160"/>
          </w:tcPr>
          <w:p>
            <w:r>
              <w:t>0,71%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25.284</w:t>
            </w:r>
          </w:p>
        </w:tc>
        <w:tc>
          <w:tcPr>
            <w:tcW w:type="dxa" w:w="2160"/>
          </w:tcPr>
          <w:p>
            <w:r>
              <w:t>0,72%</w:t>
            </w:r>
          </w:p>
        </w:tc>
      </w:tr>
    </w:tbl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Mato Grosso do Sul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3.397</w:t>
            </w:r>
          </w:p>
        </w:tc>
        <w:tc>
          <w:tcPr>
            <w:tcW w:type="dxa" w:w="2160"/>
          </w:tcPr>
          <w:p>
            <w:r>
              <w:t>0,70%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R$ 146.256.825,98</w:t>
            </w:r>
          </w:p>
        </w:tc>
        <w:tc>
          <w:tcPr>
            <w:tcW w:type="dxa" w:w="2160"/>
          </w:tcPr>
          <w:p>
            <w:r>
              <w:t>1,00%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3.397</w:t>
            </w:r>
          </w:p>
        </w:tc>
        <w:tc>
          <w:tcPr>
            <w:tcW w:type="dxa" w:w="2160"/>
          </w:tcPr>
          <w:p>
            <w:r>
              <w:t>0,70%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Mato Grosso do Sul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397</w:t>
            </w:r>
          </w:p>
        </w:tc>
        <w:tc>
          <w:tcPr>
            <w:tcW w:type="dxa" w:w="2160"/>
          </w:tcPr>
          <w:p>
            <w:r>
              <w:t>0,42%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R$ 17.313.219,84</w:t>
            </w:r>
          </w:p>
        </w:tc>
        <w:tc>
          <w:tcPr>
            <w:tcW w:type="dxa" w:w="2160"/>
          </w:tcPr>
          <w:p>
            <w:r>
              <w:t>0,49%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Mato Grosso do Sul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173</w:t>
            </w:r>
          </w:p>
        </w:tc>
        <w:tc>
          <w:tcPr>
            <w:tcW w:type="dxa" w:w="2160"/>
          </w:tcPr>
          <w:p>
            <w:r>
              <w:t>2,99%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402</w:t>
            </w:r>
          </w:p>
        </w:tc>
        <w:tc>
          <w:tcPr>
            <w:tcW w:type="dxa" w:w="2160"/>
          </w:tcPr>
          <w:p>
            <w:r>
              <w:t>2,39%</w:t>
            </w:r>
          </w:p>
        </w:tc>
      </w:tr>
    </w:tbl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Mato Grosso do Sul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Mato Grosso do Sul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Mato Grosso do Sul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376</w:t>
            </w:r>
          </w:p>
        </w:tc>
        <w:tc>
          <w:tcPr>
            <w:tcW w:type="dxa" w:w="2160"/>
          </w:tcPr>
          <w:p>
            <w:r>
              <w:t>7,94%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376</w:t>
            </w:r>
          </w:p>
        </w:tc>
        <w:tc>
          <w:tcPr>
            <w:tcW w:type="dxa" w:w="2160"/>
          </w:tcPr>
          <w:p>
            <w:r>
              <w:t>4,12%</w:t>
            </w:r>
          </w:p>
        </w:tc>
      </w:tr>
    </w:tbl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