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Pará</w:t>
      </w:r>
    </w:p>
    <w:p>
      <w:r>
        <w:t>Gerado em: 27/04/2026 11:08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Pará possui 216.099 CAFs Pessoa Física ativos, equivalentes a 5,54% do total nacional. No PRONAF, o volume financeiro consolidado para a UF é R$ 658.786.280,49, equivalente a 4,49%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216.099</w:t>
            </w:r>
          </w:p>
        </w:tc>
        <w:tc>
          <w:tcPr>
            <w:tcW w:type="dxa" w:w="2160"/>
          </w:tcPr>
          <w:p>
            <w:r>
              <w:t>5,54%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170.963</w:t>
            </w:r>
          </w:p>
        </w:tc>
        <w:tc>
          <w:tcPr>
            <w:tcW w:type="dxa" w:w="2160"/>
          </w:tcPr>
          <w:p>
            <w:r>
              <w:t>4,84%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180.953</w:t>
            </w:r>
          </w:p>
        </w:tc>
        <w:tc>
          <w:tcPr>
            <w:tcW w:type="dxa" w:w="2160"/>
          </w:tcPr>
          <w:p>
            <w:r>
              <w:t>5,14%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R$ 658.786.280,49</w:t>
            </w:r>
          </w:p>
        </w:tc>
        <w:tc>
          <w:tcPr>
            <w:tcW w:type="dxa" w:w="2160"/>
          </w:tcPr>
          <w:p>
            <w:r>
              <w:t>4,49%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4.432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R$ 61.122.026,86</w:t>
            </w:r>
          </w:p>
        </w:tc>
        <w:tc>
          <w:tcPr>
            <w:tcW w:type="dxa" w:w="2160"/>
          </w:tcPr>
          <w:p>
            <w:r>
              <w:t>1,73%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0,76%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4.085</w:t>
            </w:r>
          </w:p>
        </w:tc>
        <w:tc>
          <w:tcPr>
            <w:tcW w:type="dxa" w:w="2160"/>
          </w:tcPr>
          <w:p>
            <w:r>
              <w:t>24,24%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61,77%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13,95%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2.147</w:t>
            </w:r>
          </w:p>
        </w:tc>
        <w:tc>
          <w:tcPr>
            <w:tcW w:type="dxa" w:w="2160"/>
          </w:tcPr>
          <w:p>
            <w:r>
              <w:t>23,54%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