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Pará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Pará possui 216.099 CAFs Pessoa Física ativos, equivalentes a 5,54% do total nacional. No PRONAF, o volume financeiro consolidado para a UF é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